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18" w:rsidRDefault="00370D18">
      <w:pPr>
        <w:jc w:val="center"/>
        <w:rPr>
          <w:b/>
        </w:rPr>
      </w:pPr>
      <w:r>
        <w:rPr>
          <w:b/>
        </w:rPr>
        <w:t>SURA/JEFFERSON SCIENCE ASSOCIATES 401(k) PLAN</w:t>
      </w:r>
    </w:p>
    <w:p w:rsidR="00370D18" w:rsidRDefault="00370D18">
      <w:pPr>
        <w:jc w:val="center"/>
        <w:rPr>
          <w:b/>
          <w:sz w:val="20"/>
        </w:rPr>
      </w:pPr>
    </w:p>
    <w:p w:rsidR="00370D18" w:rsidRDefault="00370D18">
      <w:pPr>
        <w:jc w:val="center"/>
        <w:rPr>
          <w:b/>
          <w:sz w:val="20"/>
        </w:rPr>
      </w:pPr>
      <w:r>
        <w:rPr>
          <w:b/>
          <w:sz w:val="20"/>
        </w:rPr>
        <w:t>PARTICIPANT NOTICE</w:t>
      </w:r>
    </w:p>
    <w:p w:rsidR="00370D18" w:rsidRDefault="00370D18">
      <w:pPr>
        <w:jc w:val="center"/>
        <w:rPr>
          <w:b/>
          <w:sz w:val="20"/>
        </w:rPr>
      </w:pPr>
      <w:r>
        <w:rPr>
          <w:b/>
          <w:sz w:val="20"/>
        </w:rPr>
        <w:t>for</w:t>
      </w:r>
    </w:p>
    <w:p w:rsidR="00370D18" w:rsidRDefault="00370D18" w:rsidP="00370D18">
      <w:pPr>
        <w:jc w:val="center"/>
        <w:rPr>
          <w:b/>
          <w:sz w:val="20"/>
        </w:rPr>
      </w:pPr>
      <w:r>
        <w:rPr>
          <w:b/>
          <w:sz w:val="20"/>
        </w:rPr>
        <w:t xml:space="preserve">401(k) SAFE HARBOR PLAN, QUALIFIED DEFAULT INVESTMENT ALTERNATIVE, AND </w:t>
      </w:r>
    </w:p>
    <w:p w:rsidR="00370D18" w:rsidRDefault="00370D18" w:rsidP="00370D18">
      <w:pPr>
        <w:jc w:val="center"/>
        <w:rPr>
          <w:b/>
          <w:sz w:val="20"/>
        </w:rPr>
      </w:pPr>
      <w:r>
        <w:rPr>
          <w:b/>
          <w:sz w:val="20"/>
        </w:rPr>
        <w:t>AUTOMATIC CONTRIBUTION ARRANGEMENT</w:t>
      </w:r>
    </w:p>
    <w:p w:rsidR="00370D18" w:rsidRDefault="00370D18">
      <w:pPr>
        <w:jc w:val="center"/>
        <w:rPr>
          <w:b/>
          <w:sz w:val="20"/>
        </w:rPr>
      </w:pPr>
    </w:p>
    <w:p w:rsidR="00370D18" w:rsidRDefault="00370D18">
      <w:pPr>
        <w:rPr>
          <w:sz w:val="20"/>
        </w:rPr>
      </w:pPr>
      <w:r>
        <w:rPr>
          <w:sz w:val="20"/>
        </w:rPr>
        <w:t>To:</w:t>
      </w:r>
      <w:r>
        <w:rPr>
          <w:sz w:val="20"/>
        </w:rPr>
        <w:tab/>
      </w:r>
      <w:r>
        <w:rPr>
          <w:sz w:val="20"/>
        </w:rPr>
        <w:tab/>
        <w:t>All Eligible SURA and JSA Employees</w:t>
      </w:r>
    </w:p>
    <w:p w:rsidR="00370D18" w:rsidRDefault="00370D18">
      <w:pPr>
        <w:rPr>
          <w:sz w:val="20"/>
        </w:rPr>
      </w:pPr>
    </w:p>
    <w:p w:rsidR="00370D18" w:rsidRDefault="00370D18">
      <w:pPr>
        <w:rPr>
          <w:sz w:val="20"/>
        </w:rPr>
      </w:pPr>
      <w:r>
        <w:rPr>
          <w:sz w:val="20"/>
        </w:rPr>
        <w:t>From:</w:t>
      </w:r>
      <w:r>
        <w:rPr>
          <w:sz w:val="20"/>
        </w:rPr>
        <w:tab/>
      </w:r>
      <w:r>
        <w:rPr>
          <w:sz w:val="20"/>
        </w:rPr>
        <w:tab/>
        <w:t>SURA</w:t>
      </w:r>
    </w:p>
    <w:p w:rsidR="00370D18" w:rsidRDefault="00370D18">
      <w:pPr>
        <w:rPr>
          <w:sz w:val="20"/>
        </w:rPr>
      </w:pPr>
    </w:p>
    <w:p w:rsidR="00370D18" w:rsidRDefault="00370D18">
      <w:pPr>
        <w:rPr>
          <w:sz w:val="20"/>
          <w:u w:val="single"/>
        </w:rPr>
      </w:pPr>
      <w:r>
        <w:rPr>
          <w:sz w:val="20"/>
        </w:rPr>
        <w:t>Plan Year:</w:t>
      </w:r>
      <w:r>
        <w:rPr>
          <w:sz w:val="20"/>
        </w:rPr>
        <w:tab/>
      </w:r>
      <w:r>
        <w:rPr>
          <w:sz w:val="20"/>
          <w:u w:val="single"/>
        </w:rPr>
        <w:t>January 1, 2010 – December 31, 2010</w:t>
      </w:r>
    </w:p>
    <w:p w:rsidR="00370D18" w:rsidRDefault="00370D18">
      <w:pPr>
        <w:rPr>
          <w:i/>
          <w:sz w:val="20"/>
        </w:rPr>
      </w:pPr>
    </w:p>
    <w:p w:rsidR="00370D18" w:rsidRDefault="00370D18">
      <w:pPr>
        <w:rPr>
          <w:sz w:val="20"/>
        </w:rPr>
      </w:pPr>
      <w:r>
        <w:rPr>
          <w:sz w:val="20"/>
        </w:rPr>
        <w:t>Date:</w:t>
      </w:r>
      <w:r>
        <w:rPr>
          <w:sz w:val="20"/>
        </w:rPr>
        <w:tab/>
      </w:r>
      <w:r>
        <w:rPr>
          <w:sz w:val="20"/>
        </w:rPr>
        <w:tab/>
        <w:t>December 1, 2009</w:t>
      </w:r>
    </w:p>
    <w:p w:rsidR="00370D18" w:rsidRDefault="00370D18">
      <w:pPr>
        <w:rPr>
          <w:sz w:val="20"/>
        </w:rPr>
      </w:pPr>
    </w:p>
    <w:p w:rsidR="00370D18" w:rsidRDefault="00370D18">
      <w:pPr>
        <w:jc w:val="both"/>
        <w:rPr>
          <w:sz w:val="20"/>
        </w:rPr>
      </w:pPr>
      <w:r>
        <w:rPr>
          <w:sz w:val="20"/>
        </w:rPr>
        <w:t>This notice is intended to inform you of your rights and obligations under the SURA/</w:t>
      </w:r>
      <w:r w:rsidRPr="003A565E">
        <w:rPr>
          <w:sz w:val="20"/>
        </w:rPr>
        <w:t>Jefferson Science Associate</w:t>
      </w:r>
      <w:r>
        <w:rPr>
          <w:sz w:val="20"/>
        </w:rPr>
        <w:t>s</w:t>
      </w:r>
      <w:r w:rsidRPr="003A565E">
        <w:rPr>
          <w:sz w:val="20"/>
        </w:rPr>
        <w:t xml:space="preserve"> 401(k) </w:t>
      </w:r>
      <w:r>
        <w:rPr>
          <w:sz w:val="20"/>
        </w:rPr>
        <w:t xml:space="preserve">plan (the “plan”) and the availability of certain contributions under the plan for the 2010 plan year.  We are required to provide you with this notice, which describes the 401(k) safe harbor contribution, qualified default investment alternative, automatic contribution arrangement, and certain related rules in the plan.  </w:t>
      </w:r>
    </w:p>
    <w:p w:rsidR="00370D18" w:rsidRDefault="00370D18">
      <w:pPr>
        <w:jc w:val="both"/>
        <w:rPr>
          <w:sz w:val="20"/>
        </w:rPr>
      </w:pPr>
    </w:p>
    <w:p w:rsidR="00370D18" w:rsidRDefault="00370D18">
      <w:pPr>
        <w:jc w:val="both"/>
        <w:rPr>
          <w:sz w:val="20"/>
        </w:rPr>
      </w:pPr>
      <w:r>
        <w:rPr>
          <w:sz w:val="20"/>
        </w:rPr>
        <w:t>You should keep it this notice with your summary plan description for future reference.</w:t>
      </w:r>
    </w:p>
    <w:p w:rsidR="00370D18" w:rsidRDefault="00370D18">
      <w:pPr>
        <w:jc w:val="both"/>
        <w:rPr>
          <w:i/>
          <w:sz w:val="20"/>
        </w:rPr>
      </w:pPr>
    </w:p>
    <w:p w:rsidR="00370D18" w:rsidRDefault="00370D18">
      <w:pPr>
        <w:jc w:val="both"/>
        <w:rPr>
          <w:sz w:val="20"/>
        </w:rPr>
      </w:pPr>
      <w:r>
        <w:rPr>
          <w:b/>
          <w:i/>
          <w:sz w:val="20"/>
        </w:rPr>
        <w:t>Employer 401(k) Safe Harbor Nonelective Contribution</w:t>
      </w:r>
    </w:p>
    <w:p w:rsidR="00370D18" w:rsidRDefault="00370D18">
      <w:pPr>
        <w:jc w:val="both"/>
        <w:rPr>
          <w:sz w:val="20"/>
        </w:rPr>
      </w:pPr>
    </w:p>
    <w:p w:rsidR="00370D18" w:rsidRDefault="00370D18">
      <w:pPr>
        <w:jc w:val="both"/>
        <w:rPr>
          <w:sz w:val="20"/>
        </w:rPr>
      </w:pPr>
      <w:r w:rsidRPr="003A565E">
        <w:rPr>
          <w:sz w:val="20"/>
        </w:rPr>
        <w:t>The</w:t>
      </w:r>
      <w:r>
        <w:rPr>
          <w:sz w:val="20"/>
        </w:rPr>
        <w:t xml:space="preserve"> plan</w:t>
      </w:r>
      <w:r w:rsidRPr="003A565E">
        <w:rPr>
          <w:sz w:val="20"/>
        </w:rPr>
        <w:t xml:space="preserve"> </w:t>
      </w:r>
      <w:r>
        <w:rPr>
          <w:sz w:val="20"/>
        </w:rPr>
        <w:t>provides a 401(k) safe harbor contribution for the 2010 plan year that allows the plan to automatically satisfy the 401(k) nondiscrimination tests required by the Internal Revenue Code.  Under the 401(k) safe harbor, we will contribute a nonelective contribution to your plan account equal to 10% of your eligible compensation.  You will always be 100% vested in these 401(k) safe harbor contributions.</w:t>
      </w:r>
    </w:p>
    <w:p w:rsidR="00370D18" w:rsidRDefault="00370D18">
      <w:pPr>
        <w:jc w:val="both"/>
        <w:rPr>
          <w:sz w:val="20"/>
        </w:rPr>
      </w:pPr>
    </w:p>
    <w:p w:rsidR="00370D18" w:rsidRPr="003A565E" w:rsidRDefault="00370D18">
      <w:pPr>
        <w:jc w:val="both"/>
        <w:rPr>
          <w:b/>
          <w:i/>
          <w:sz w:val="20"/>
        </w:rPr>
      </w:pPr>
      <w:r w:rsidRPr="003A565E">
        <w:rPr>
          <w:b/>
          <w:i/>
          <w:sz w:val="20"/>
        </w:rPr>
        <w:t>Type and Amount of Compensation Subject to Deferral</w:t>
      </w:r>
    </w:p>
    <w:p w:rsidR="00370D18" w:rsidRDefault="00370D18">
      <w:pPr>
        <w:jc w:val="both"/>
        <w:rPr>
          <w:sz w:val="20"/>
        </w:rPr>
      </w:pPr>
    </w:p>
    <w:p w:rsidR="00370D18" w:rsidRPr="00A17E2C" w:rsidRDefault="00370D18">
      <w:pPr>
        <w:jc w:val="both"/>
        <w:rPr>
          <w:sz w:val="20"/>
        </w:rPr>
      </w:pPr>
      <w:r>
        <w:rPr>
          <w:sz w:val="20"/>
        </w:rPr>
        <w:t xml:space="preserve">Please refer to your summary plan description for details about your compensation that is eligible for contributions under </w:t>
      </w:r>
      <w:r w:rsidRPr="00A17E2C">
        <w:rPr>
          <w:sz w:val="20"/>
        </w:rPr>
        <w:t xml:space="preserve">the plan.  Generally, for purposes of your </w:t>
      </w:r>
      <w:r>
        <w:rPr>
          <w:sz w:val="20"/>
        </w:rPr>
        <w:t>401(k) deferral contributions</w:t>
      </w:r>
      <w:r w:rsidRPr="00A17E2C">
        <w:rPr>
          <w:sz w:val="20"/>
        </w:rPr>
        <w:t xml:space="preserve"> and ou</w:t>
      </w:r>
      <w:r>
        <w:rPr>
          <w:sz w:val="20"/>
        </w:rPr>
        <w:t>r 401(k) safe harbor</w:t>
      </w:r>
      <w:r w:rsidRPr="00A17E2C">
        <w:rPr>
          <w:sz w:val="20"/>
        </w:rPr>
        <w:t xml:space="preserve"> contributions</w:t>
      </w:r>
      <w:r>
        <w:rPr>
          <w:sz w:val="20"/>
        </w:rPr>
        <w:t xml:space="preserve"> to the Plan</w:t>
      </w:r>
      <w:r w:rsidRPr="00A17E2C">
        <w:rPr>
          <w:sz w:val="20"/>
        </w:rPr>
        <w:t>, compensation includes your annual base salary to you or accrued by you during the calendar year, excluding the following:</w:t>
      </w:r>
    </w:p>
    <w:p w:rsidR="00370D18" w:rsidRPr="00A17E2C" w:rsidRDefault="00370D18">
      <w:pPr>
        <w:jc w:val="both"/>
        <w:rPr>
          <w:sz w:val="20"/>
        </w:rPr>
      </w:pPr>
    </w:p>
    <w:tbl>
      <w:tblPr>
        <w:tblW w:w="0" w:type="auto"/>
        <w:tblInd w:w="558" w:type="dxa"/>
        <w:tblLook w:val="01E0"/>
      </w:tblPr>
      <w:tblGrid>
        <w:gridCol w:w="4410"/>
        <w:gridCol w:w="4968"/>
      </w:tblGrid>
      <w:tr w:rsidR="00370D18" w:rsidRPr="00D54DAF">
        <w:tc>
          <w:tcPr>
            <w:tcW w:w="4410" w:type="dxa"/>
          </w:tcPr>
          <w:p w:rsidR="00370D18" w:rsidRPr="00D54DAF" w:rsidRDefault="00370D18" w:rsidP="00370D18">
            <w:pPr>
              <w:pStyle w:val="ListBullet"/>
              <w:jc w:val="both"/>
              <w:rPr>
                <w:sz w:val="20"/>
              </w:rPr>
            </w:pPr>
            <w:r w:rsidRPr="00D54DAF">
              <w:rPr>
                <w:sz w:val="20"/>
              </w:rPr>
              <w:t>overtime,</w:t>
            </w:r>
          </w:p>
          <w:p w:rsidR="00370D18" w:rsidRPr="00D54DAF" w:rsidRDefault="00370D18" w:rsidP="00370D18">
            <w:pPr>
              <w:pStyle w:val="ListBullet"/>
              <w:jc w:val="both"/>
              <w:rPr>
                <w:sz w:val="20"/>
              </w:rPr>
            </w:pPr>
            <w:r w:rsidRPr="00D54DAF">
              <w:rPr>
                <w:sz w:val="20"/>
              </w:rPr>
              <w:t>bonuses,</w:t>
            </w:r>
          </w:p>
          <w:p w:rsidR="00370D18" w:rsidRPr="00D54DAF" w:rsidRDefault="00370D18" w:rsidP="00370D18">
            <w:pPr>
              <w:pStyle w:val="ListBullet"/>
              <w:jc w:val="both"/>
              <w:rPr>
                <w:sz w:val="20"/>
              </w:rPr>
            </w:pPr>
            <w:r w:rsidRPr="00D54DAF">
              <w:rPr>
                <w:sz w:val="20"/>
              </w:rPr>
              <w:t>commissions,</w:t>
            </w:r>
          </w:p>
          <w:p w:rsidR="00370D18" w:rsidRPr="00D54DAF" w:rsidRDefault="00370D18" w:rsidP="00370D18">
            <w:pPr>
              <w:pStyle w:val="ListBullet"/>
              <w:jc w:val="both"/>
              <w:rPr>
                <w:sz w:val="20"/>
              </w:rPr>
            </w:pPr>
            <w:r w:rsidRPr="00D54DAF">
              <w:rPr>
                <w:sz w:val="20"/>
              </w:rPr>
              <w:t>shift premiums,</w:t>
            </w:r>
          </w:p>
          <w:p w:rsidR="00370D18" w:rsidRPr="00D54DAF" w:rsidRDefault="00370D18" w:rsidP="00370D18">
            <w:pPr>
              <w:pStyle w:val="ListBullet"/>
              <w:jc w:val="both"/>
              <w:rPr>
                <w:sz w:val="20"/>
              </w:rPr>
            </w:pPr>
            <w:r w:rsidRPr="00D54DAF">
              <w:rPr>
                <w:sz w:val="20"/>
              </w:rPr>
              <w:t>reimbursement or other expense allowances,</w:t>
            </w:r>
          </w:p>
          <w:p w:rsidR="00370D18" w:rsidRPr="00D54DAF" w:rsidRDefault="00370D18" w:rsidP="00370D18">
            <w:pPr>
              <w:jc w:val="both"/>
              <w:rPr>
                <w:sz w:val="20"/>
              </w:rPr>
            </w:pPr>
          </w:p>
        </w:tc>
        <w:tc>
          <w:tcPr>
            <w:tcW w:w="4968" w:type="dxa"/>
          </w:tcPr>
          <w:p w:rsidR="00370D18" w:rsidRPr="00D54DAF" w:rsidRDefault="00370D18" w:rsidP="00370D18">
            <w:pPr>
              <w:pStyle w:val="ListBullet"/>
              <w:jc w:val="both"/>
              <w:rPr>
                <w:sz w:val="20"/>
              </w:rPr>
            </w:pPr>
            <w:r w:rsidRPr="00D54DAF">
              <w:rPr>
                <w:sz w:val="20"/>
              </w:rPr>
              <w:t>fringe benefits,</w:t>
            </w:r>
          </w:p>
          <w:p w:rsidR="00370D18" w:rsidRPr="00D54DAF" w:rsidRDefault="00370D18" w:rsidP="00370D18">
            <w:pPr>
              <w:pStyle w:val="ListBullet"/>
              <w:jc w:val="both"/>
              <w:rPr>
                <w:sz w:val="20"/>
              </w:rPr>
            </w:pPr>
            <w:r w:rsidRPr="00D54DAF">
              <w:rPr>
                <w:sz w:val="20"/>
              </w:rPr>
              <w:t>moving expenses,</w:t>
            </w:r>
          </w:p>
          <w:p w:rsidR="00370D18" w:rsidRPr="00D54DAF" w:rsidRDefault="00370D18" w:rsidP="00370D18">
            <w:pPr>
              <w:pStyle w:val="ListBullet"/>
              <w:jc w:val="both"/>
              <w:rPr>
                <w:sz w:val="20"/>
              </w:rPr>
            </w:pPr>
            <w:r w:rsidRPr="00D54DAF">
              <w:rPr>
                <w:sz w:val="20"/>
              </w:rPr>
              <w:t>deferred compensation,</w:t>
            </w:r>
          </w:p>
          <w:p w:rsidR="00370D18" w:rsidRPr="00D54DAF" w:rsidRDefault="00370D18" w:rsidP="00370D18">
            <w:pPr>
              <w:pStyle w:val="ListBullet"/>
              <w:jc w:val="both"/>
              <w:rPr>
                <w:sz w:val="20"/>
              </w:rPr>
            </w:pPr>
            <w:r w:rsidRPr="00D54DAF">
              <w:rPr>
                <w:sz w:val="20"/>
              </w:rPr>
              <w:t>welfare benefits, and</w:t>
            </w:r>
          </w:p>
          <w:p w:rsidR="00370D18" w:rsidRPr="00D54DAF" w:rsidRDefault="00370D18" w:rsidP="00370D18">
            <w:pPr>
              <w:pStyle w:val="ListBullet"/>
              <w:rPr>
                <w:sz w:val="20"/>
              </w:rPr>
            </w:pPr>
            <w:r w:rsidRPr="00D54DAF">
              <w:rPr>
                <w:sz w:val="20"/>
              </w:rPr>
              <w:t>compensation paid aft</w:t>
            </w:r>
            <w:r>
              <w:rPr>
                <w:sz w:val="20"/>
              </w:rPr>
              <w:t>er your severance of employment</w:t>
            </w:r>
          </w:p>
          <w:p w:rsidR="00370D18" w:rsidRPr="00D54DAF" w:rsidRDefault="00370D18" w:rsidP="00370D18">
            <w:pPr>
              <w:jc w:val="both"/>
              <w:rPr>
                <w:sz w:val="20"/>
              </w:rPr>
            </w:pPr>
          </w:p>
        </w:tc>
      </w:tr>
    </w:tbl>
    <w:p w:rsidR="00370D18" w:rsidRPr="00FC3BE3" w:rsidRDefault="00370D18" w:rsidP="00370D18">
      <w:pPr>
        <w:jc w:val="both"/>
        <w:rPr>
          <w:sz w:val="20"/>
        </w:rPr>
      </w:pPr>
      <w:r>
        <w:rPr>
          <w:sz w:val="20"/>
        </w:rPr>
        <w:t xml:space="preserve">The maximum amount of </w:t>
      </w:r>
      <w:r w:rsidRPr="00FC3BE3">
        <w:rPr>
          <w:sz w:val="20"/>
        </w:rPr>
        <w:t xml:space="preserve">compensation </w:t>
      </w:r>
      <w:r>
        <w:rPr>
          <w:sz w:val="20"/>
        </w:rPr>
        <w:t xml:space="preserve">that the plan will consider </w:t>
      </w:r>
      <w:r w:rsidRPr="00FC3BE3">
        <w:rPr>
          <w:sz w:val="20"/>
        </w:rPr>
        <w:t>is limited to $245,0</w:t>
      </w:r>
      <w:r>
        <w:rPr>
          <w:sz w:val="20"/>
        </w:rPr>
        <w:t>00 for 2010</w:t>
      </w:r>
      <w:r w:rsidRPr="00FC3BE3">
        <w:rPr>
          <w:sz w:val="20"/>
        </w:rPr>
        <w:t>.</w:t>
      </w:r>
    </w:p>
    <w:p w:rsidR="00370D18" w:rsidRDefault="00370D18">
      <w:pPr>
        <w:jc w:val="both"/>
        <w:rPr>
          <w:sz w:val="20"/>
        </w:rPr>
      </w:pPr>
    </w:p>
    <w:p w:rsidR="00370D18" w:rsidRDefault="00370D18">
      <w:pPr>
        <w:jc w:val="both"/>
        <w:rPr>
          <w:sz w:val="20"/>
        </w:rPr>
      </w:pPr>
      <w:r>
        <w:rPr>
          <w:b/>
          <w:i/>
          <w:sz w:val="20"/>
        </w:rPr>
        <w:t>Employee 401(k) Deferral Contributions and Automatic Contributions</w:t>
      </w:r>
    </w:p>
    <w:p w:rsidR="00370D18" w:rsidRDefault="00370D18">
      <w:pPr>
        <w:jc w:val="both"/>
        <w:rPr>
          <w:sz w:val="20"/>
        </w:rPr>
      </w:pPr>
    </w:p>
    <w:p w:rsidR="00370D18" w:rsidRPr="00A17E2C" w:rsidRDefault="00370D18" w:rsidP="00370D18">
      <w:pPr>
        <w:jc w:val="both"/>
        <w:rPr>
          <w:sz w:val="20"/>
        </w:rPr>
      </w:pPr>
      <w:r w:rsidRPr="00A17E2C">
        <w:rPr>
          <w:sz w:val="20"/>
        </w:rPr>
        <w:t>As a participant in the plan, you may elect to defer a portion of your compensation to the plan</w:t>
      </w:r>
      <w:r>
        <w:rPr>
          <w:sz w:val="20"/>
        </w:rPr>
        <w:t xml:space="preserve"> on a pre-tax basis</w:t>
      </w:r>
      <w:r w:rsidRPr="00A17E2C">
        <w:rPr>
          <w:sz w:val="20"/>
        </w:rPr>
        <w:t xml:space="preserve"> (your “401(k) deferral contributions”).  We are also offering an automatic enrollment feature for your 401(k) deferral contributions.  The automatic enrollment feature will default your </w:t>
      </w:r>
      <w:r>
        <w:rPr>
          <w:sz w:val="20"/>
        </w:rPr>
        <w:t xml:space="preserve">401(k) deferral </w:t>
      </w:r>
      <w:r w:rsidRPr="00A17E2C">
        <w:rPr>
          <w:sz w:val="20"/>
        </w:rPr>
        <w:t>contributi</w:t>
      </w:r>
      <w:r>
        <w:rPr>
          <w:sz w:val="20"/>
        </w:rPr>
        <w:t>ons to 5% of your eligible compensation</w:t>
      </w:r>
      <w:r w:rsidRPr="00A17E2C">
        <w:rPr>
          <w:sz w:val="20"/>
        </w:rPr>
        <w:t xml:space="preserve">.  If you would like to increase or decrease the amount of your </w:t>
      </w:r>
      <w:r>
        <w:rPr>
          <w:sz w:val="20"/>
        </w:rPr>
        <w:t xml:space="preserve">401(k) </w:t>
      </w:r>
      <w:r w:rsidRPr="00A17E2C">
        <w:rPr>
          <w:sz w:val="20"/>
        </w:rPr>
        <w:t>deferr</w:t>
      </w:r>
      <w:r>
        <w:rPr>
          <w:sz w:val="20"/>
        </w:rPr>
        <w:t>al</w:t>
      </w:r>
      <w:r w:rsidRPr="00A17E2C">
        <w:rPr>
          <w:sz w:val="20"/>
        </w:rPr>
        <w:t xml:space="preserve"> contributions, complete a salary reduction agreement.  You can change your contribution level at any time during the year by submitting a new salary reduction agreement to Human Resources. </w:t>
      </w:r>
    </w:p>
    <w:p w:rsidR="00370D18" w:rsidRPr="005B77AE" w:rsidRDefault="00370D18" w:rsidP="00370D18">
      <w:pPr>
        <w:jc w:val="both"/>
        <w:rPr>
          <w:color w:val="000000"/>
          <w:sz w:val="20"/>
        </w:rPr>
      </w:pPr>
    </w:p>
    <w:p w:rsidR="00370D18" w:rsidRDefault="00370D18" w:rsidP="00370D18">
      <w:pPr>
        <w:jc w:val="both"/>
        <w:rPr>
          <w:sz w:val="20"/>
        </w:rPr>
      </w:pPr>
      <w:r>
        <w:rPr>
          <w:color w:val="000000"/>
          <w:sz w:val="20"/>
        </w:rPr>
        <w:t>For new participants, i</w:t>
      </w:r>
      <w:r w:rsidRPr="005B77AE">
        <w:rPr>
          <w:color w:val="000000"/>
          <w:sz w:val="20"/>
        </w:rPr>
        <w:t xml:space="preserve">f you </w:t>
      </w:r>
      <w:r>
        <w:rPr>
          <w:color w:val="000000"/>
          <w:sz w:val="20"/>
        </w:rPr>
        <w:t>do not submit</w:t>
      </w:r>
      <w:r w:rsidRPr="005B77AE">
        <w:rPr>
          <w:color w:val="000000"/>
          <w:sz w:val="20"/>
        </w:rPr>
        <w:t xml:space="preserve"> a </w:t>
      </w:r>
      <w:r>
        <w:rPr>
          <w:color w:val="000000"/>
          <w:sz w:val="20"/>
        </w:rPr>
        <w:t>salary reduction agreement,</w:t>
      </w:r>
      <w:r w:rsidRPr="005B77AE">
        <w:rPr>
          <w:color w:val="000000"/>
          <w:sz w:val="20"/>
        </w:rPr>
        <w:t xml:space="preserve"> you will be automatically enrolled in the </w:t>
      </w:r>
      <w:r>
        <w:rPr>
          <w:color w:val="000000"/>
          <w:sz w:val="20"/>
        </w:rPr>
        <w:t>p</w:t>
      </w:r>
      <w:r w:rsidRPr="005B77AE">
        <w:rPr>
          <w:color w:val="000000"/>
          <w:sz w:val="20"/>
        </w:rPr>
        <w:t xml:space="preserve">lan starting </w:t>
      </w:r>
      <w:r>
        <w:rPr>
          <w:color w:val="000000"/>
          <w:sz w:val="20"/>
        </w:rPr>
        <w:t>with your first paycheck</w:t>
      </w:r>
      <w:r w:rsidRPr="005B77AE">
        <w:rPr>
          <w:color w:val="000000"/>
          <w:sz w:val="20"/>
        </w:rPr>
        <w:t xml:space="preserve">. This means that amounts will be taken from your pay and contributed </w:t>
      </w:r>
      <w:r>
        <w:rPr>
          <w:color w:val="000000"/>
          <w:sz w:val="20"/>
        </w:rPr>
        <w:t>to the plan.  During 2010</w:t>
      </w:r>
      <w:r w:rsidRPr="005B77AE">
        <w:rPr>
          <w:color w:val="000000"/>
          <w:sz w:val="20"/>
        </w:rPr>
        <w:t xml:space="preserve">, these automatic contributions will be </w:t>
      </w:r>
      <w:r>
        <w:rPr>
          <w:color w:val="000000"/>
          <w:sz w:val="20"/>
        </w:rPr>
        <w:t>5% of your eligible compensation</w:t>
      </w:r>
      <w:r w:rsidRPr="005B77AE">
        <w:rPr>
          <w:color w:val="000000"/>
          <w:sz w:val="20"/>
        </w:rPr>
        <w:t xml:space="preserve"> each pay period</w:t>
      </w:r>
      <w:r>
        <w:rPr>
          <w:color w:val="000000"/>
          <w:sz w:val="20"/>
        </w:rPr>
        <w:t xml:space="preserve"> (excludes any pay </w:t>
      </w:r>
      <w:r>
        <w:rPr>
          <w:color w:val="000000"/>
          <w:sz w:val="20"/>
        </w:rPr>
        <w:lastRenderedPageBreak/>
        <w:t>adjustments during the year)</w:t>
      </w:r>
      <w:r w:rsidRPr="005B77AE">
        <w:rPr>
          <w:color w:val="000000"/>
          <w:sz w:val="20"/>
        </w:rPr>
        <w:t xml:space="preserve">. </w:t>
      </w:r>
      <w:r>
        <w:rPr>
          <w:color w:val="000000"/>
          <w:sz w:val="20"/>
        </w:rPr>
        <w:t xml:space="preserve"> </w:t>
      </w:r>
      <w:r w:rsidRPr="005B77AE">
        <w:rPr>
          <w:color w:val="000000"/>
          <w:sz w:val="20"/>
        </w:rPr>
        <w:t>You can choose to contribute more, less, or even nothing</w:t>
      </w:r>
      <w:r>
        <w:rPr>
          <w:sz w:val="20"/>
        </w:rPr>
        <w:t xml:space="preserve">, but you must complete a salary reduction agreement to reflect an amount different than 5% of your eligible compensation.  </w:t>
      </w:r>
    </w:p>
    <w:p w:rsidR="00370D18" w:rsidRDefault="00370D18" w:rsidP="00370D18">
      <w:pPr>
        <w:jc w:val="both"/>
        <w:rPr>
          <w:sz w:val="20"/>
        </w:rPr>
      </w:pPr>
    </w:p>
    <w:p w:rsidR="00370D18" w:rsidRDefault="00370D18" w:rsidP="00370D18">
      <w:pPr>
        <w:jc w:val="both"/>
        <w:rPr>
          <w:sz w:val="20"/>
        </w:rPr>
      </w:pPr>
      <w:r>
        <w:rPr>
          <w:sz w:val="20"/>
        </w:rPr>
        <w:t>For existing participants, if your election in the previous year was less than 5% of your eligible compensation and you do not complete a new salary reduction agreement, your 401(k) deferral contributions will default to 5% of your eligible compensation beginning with your first paycheck in 2010; nevertheless, you can always change your 401(k) deferral contributions by completing a new salary reduction agreement for that year.</w:t>
      </w:r>
    </w:p>
    <w:p w:rsidR="00370D18" w:rsidRDefault="00370D18" w:rsidP="00370D18">
      <w:pPr>
        <w:jc w:val="both"/>
        <w:rPr>
          <w:sz w:val="20"/>
        </w:rPr>
      </w:pPr>
    </w:p>
    <w:p w:rsidR="00370D18" w:rsidRPr="00A966D3" w:rsidRDefault="00370D18" w:rsidP="00370D18">
      <w:pPr>
        <w:jc w:val="both"/>
        <w:rPr>
          <w:sz w:val="20"/>
        </w:rPr>
      </w:pPr>
      <w:r w:rsidRPr="00A966D3">
        <w:rPr>
          <w:color w:val="000000"/>
          <w:sz w:val="20"/>
        </w:rPr>
        <w:t>You can always change th</w:t>
      </w:r>
      <w:r>
        <w:rPr>
          <w:color w:val="000000"/>
          <w:sz w:val="20"/>
        </w:rPr>
        <w:t>e amount you contribute to the p</w:t>
      </w:r>
      <w:r w:rsidRPr="00A966D3">
        <w:rPr>
          <w:color w:val="000000"/>
          <w:sz w:val="20"/>
        </w:rPr>
        <w:t xml:space="preserve">lan. </w:t>
      </w:r>
      <w:r>
        <w:rPr>
          <w:color w:val="000000"/>
          <w:sz w:val="20"/>
        </w:rPr>
        <w:t xml:space="preserve"> </w:t>
      </w:r>
      <w:r w:rsidRPr="00A966D3">
        <w:rPr>
          <w:color w:val="000000"/>
          <w:sz w:val="20"/>
        </w:rPr>
        <w:t>If you know now that you do not want to co</w:t>
      </w:r>
      <w:r>
        <w:rPr>
          <w:color w:val="000000"/>
          <w:sz w:val="20"/>
        </w:rPr>
        <w:t>ntribute to the p</w:t>
      </w:r>
      <w:r w:rsidRPr="00A966D3">
        <w:rPr>
          <w:color w:val="000000"/>
          <w:sz w:val="20"/>
        </w:rPr>
        <w:t>lan (and you haven’t already elected not to contribute), you will want to turn in a contribution form el</w:t>
      </w:r>
      <w:r>
        <w:rPr>
          <w:color w:val="000000"/>
          <w:sz w:val="20"/>
        </w:rPr>
        <w:t>ecting zero contributions</w:t>
      </w:r>
      <w:r w:rsidRPr="00A966D3">
        <w:rPr>
          <w:color w:val="000000"/>
          <w:sz w:val="20"/>
        </w:rPr>
        <w:t>. That way, you avoid any automatic contributions</w:t>
      </w:r>
      <w:r>
        <w:rPr>
          <w:color w:val="000000"/>
          <w:sz w:val="20"/>
        </w:rPr>
        <w:t>.  Y</w:t>
      </w:r>
      <w:r w:rsidRPr="00A966D3">
        <w:rPr>
          <w:color w:val="000000"/>
          <w:sz w:val="20"/>
        </w:rPr>
        <w:t xml:space="preserve">ou can choose to continue or restart your contributions </w:t>
      </w:r>
      <w:r>
        <w:rPr>
          <w:color w:val="000000"/>
          <w:sz w:val="20"/>
        </w:rPr>
        <w:t>by turning in a salary reduction agreement</w:t>
      </w:r>
      <w:r w:rsidRPr="00A966D3">
        <w:rPr>
          <w:color w:val="000000"/>
          <w:sz w:val="20"/>
        </w:rPr>
        <w:t xml:space="preserve">.  </w:t>
      </w:r>
      <w:r w:rsidRPr="00A966D3">
        <w:rPr>
          <w:sz w:val="20"/>
        </w:rPr>
        <w:t xml:space="preserve">    </w:t>
      </w:r>
    </w:p>
    <w:p w:rsidR="00370D18" w:rsidRPr="00A966D3" w:rsidRDefault="00370D18" w:rsidP="00370D18">
      <w:pPr>
        <w:jc w:val="both"/>
        <w:rPr>
          <w:sz w:val="20"/>
        </w:rPr>
      </w:pPr>
    </w:p>
    <w:p w:rsidR="00370D18" w:rsidRDefault="00370D18" w:rsidP="00370D18">
      <w:pPr>
        <w:jc w:val="both"/>
        <w:rPr>
          <w:sz w:val="20"/>
        </w:rPr>
      </w:pPr>
      <w:r>
        <w:rPr>
          <w:sz w:val="20"/>
        </w:rPr>
        <w:t xml:space="preserve">Please see your summary plan description for an outline of the plan’s definition of compensation, the eligibility rules, and when changes will be processed.  Your elective deferrals are limited to $16,500 in 2010.  </w:t>
      </w:r>
    </w:p>
    <w:p w:rsidR="00370D18" w:rsidRDefault="00370D18" w:rsidP="00370D18">
      <w:pPr>
        <w:jc w:val="both"/>
        <w:rPr>
          <w:sz w:val="20"/>
        </w:rPr>
      </w:pPr>
    </w:p>
    <w:p w:rsidR="00370D18" w:rsidRPr="00F1025A" w:rsidRDefault="00370D18" w:rsidP="00370D18">
      <w:pPr>
        <w:jc w:val="both"/>
        <w:rPr>
          <w:sz w:val="20"/>
        </w:rPr>
      </w:pPr>
      <w:r>
        <w:rPr>
          <w:sz w:val="20"/>
        </w:rPr>
        <w:t xml:space="preserve">Your decision about whether or not to defer a portion of your eligible compensation to the plan does </w:t>
      </w:r>
      <w:r>
        <w:rPr>
          <w:sz w:val="20"/>
          <w:u w:val="single"/>
        </w:rPr>
        <w:t>not</w:t>
      </w:r>
      <w:r>
        <w:rPr>
          <w:sz w:val="20"/>
        </w:rPr>
        <w:t xml:space="preserve"> affect your right to receive a 401(k) safe harbor contribution. </w:t>
      </w:r>
    </w:p>
    <w:p w:rsidR="00370D18" w:rsidRDefault="00370D18" w:rsidP="00370D18">
      <w:pPr>
        <w:jc w:val="both"/>
        <w:rPr>
          <w:sz w:val="20"/>
        </w:rPr>
      </w:pPr>
    </w:p>
    <w:p w:rsidR="00370D18" w:rsidRDefault="00370D18" w:rsidP="00370D18">
      <w:pPr>
        <w:jc w:val="both"/>
        <w:rPr>
          <w:sz w:val="20"/>
        </w:rPr>
      </w:pPr>
      <w:r>
        <w:rPr>
          <w:sz w:val="20"/>
        </w:rPr>
        <w:t>You may enter into or revise a salary reduction agreement at any time, subject to the plan.  The salary reduction form is available from your HR representative or the Office of Human Resource Services.</w:t>
      </w:r>
    </w:p>
    <w:p w:rsidR="00370D18" w:rsidRDefault="00370D18">
      <w:pPr>
        <w:jc w:val="both"/>
        <w:rPr>
          <w:sz w:val="20"/>
        </w:rPr>
      </w:pPr>
    </w:p>
    <w:p w:rsidR="00370D18" w:rsidRPr="00940099" w:rsidRDefault="00370D18">
      <w:pPr>
        <w:jc w:val="both"/>
        <w:rPr>
          <w:b/>
          <w:i/>
          <w:sz w:val="20"/>
        </w:rPr>
      </w:pPr>
      <w:r w:rsidRPr="00940099">
        <w:rPr>
          <w:b/>
          <w:i/>
          <w:sz w:val="20"/>
        </w:rPr>
        <w:t xml:space="preserve">Investing Your </w:t>
      </w:r>
      <w:r>
        <w:rPr>
          <w:b/>
          <w:i/>
          <w:sz w:val="20"/>
        </w:rPr>
        <w:t xml:space="preserve">Plan </w:t>
      </w:r>
      <w:r w:rsidRPr="00940099">
        <w:rPr>
          <w:b/>
          <w:i/>
          <w:sz w:val="20"/>
        </w:rPr>
        <w:t>Account</w:t>
      </w:r>
    </w:p>
    <w:p w:rsidR="00370D18" w:rsidRPr="00940099" w:rsidRDefault="00370D18" w:rsidP="00370D18">
      <w:pPr>
        <w:spacing w:before="240"/>
        <w:jc w:val="both"/>
        <w:rPr>
          <w:sz w:val="20"/>
        </w:rPr>
      </w:pPr>
      <w:r>
        <w:rPr>
          <w:sz w:val="20"/>
        </w:rPr>
        <w:t>The pl</w:t>
      </w:r>
      <w:r w:rsidRPr="00940099">
        <w:rPr>
          <w:sz w:val="20"/>
        </w:rPr>
        <w:t xml:space="preserve">an lets you invest </w:t>
      </w:r>
      <w:r>
        <w:rPr>
          <w:sz w:val="20"/>
        </w:rPr>
        <w:t xml:space="preserve">the contributions in </w:t>
      </w:r>
      <w:r w:rsidRPr="00940099">
        <w:rPr>
          <w:sz w:val="20"/>
        </w:rPr>
        <w:t xml:space="preserve">your </w:t>
      </w:r>
      <w:r>
        <w:rPr>
          <w:sz w:val="20"/>
        </w:rPr>
        <w:t xml:space="preserve">plan </w:t>
      </w:r>
      <w:r w:rsidRPr="00940099">
        <w:rPr>
          <w:sz w:val="20"/>
        </w:rPr>
        <w:t xml:space="preserve">account in a number of different investment funds.  </w:t>
      </w:r>
      <w:r w:rsidRPr="00940099">
        <w:rPr>
          <w:color w:val="000000"/>
          <w:sz w:val="20"/>
        </w:rPr>
        <w:t xml:space="preserve">The </w:t>
      </w:r>
      <w:r>
        <w:rPr>
          <w:color w:val="000000"/>
          <w:sz w:val="20"/>
        </w:rPr>
        <w:t>p</w:t>
      </w:r>
      <w:r w:rsidRPr="00940099">
        <w:rPr>
          <w:color w:val="000000"/>
          <w:sz w:val="20"/>
        </w:rPr>
        <w:t>lan allows you to choose from a diverse set of investment options that include the CREF Variable Annuity Accounts, TIAA Variable Annuity Accounts, and TIAA Traditional Annuity Accounts</w:t>
      </w:r>
      <w:r w:rsidRPr="0063128C">
        <w:rPr>
          <w:color w:val="000000"/>
          <w:sz w:val="20"/>
        </w:rPr>
        <w:t xml:space="preserve">.  A list of the plan's available funds and a copy of the prospectus or information statement for each fund may be obtained from TIAA-CREF at 800.842.2776 or at </w:t>
      </w:r>
      <w:hyperlink r:id="rId7" w:history="1">
        <w:r w:rsidRPr="0063128C">
          <w:rPr>
            <w:rStyle w:val="Hyperlink"/>
            <w:color w:val="000000"/>
            <w:sz w:val="20"/>
            <w:u w:val="none"/>
          </w:rPr>
          <w:t>http://www.tiaa-cref/org/performance/retirement/index.html</w:t>
        </w:r>
      </w:hyperlink>
      <w:r w:rsidRPr="0063128C">
        <w:rPr>
          <w:color w:val="000000"/>
          <w:sz w:val="20"/>
        </w:rPr>
        <w:t>.  You can change how your</w:t>
      </w:r>
      <w:r w:rsidRPr="00940099">
        <w:rPr>
          <w:color w:val="000000"/>
          <w:sz w:val="20"/>
        </w:rPr>
        <w:t xml:space="preserve"> </w:t>
      </w:r>
      <w:r>
        <w:rPr>
          <w:color w:val="000000"/>
          <w:sz w:val="20"/>
        </w:rPr>
        <w:t>p</w:t>
      </w:r>
      <w:r w:rsidRPr="00940099">
        <w:rPr>
          <w:color w:val="000000"/>
          <w:sz w:val="20"/>
        </w:rPr>
        <w:t xml:space="preserve">lan account is invested, among the </w:t>
      </w:r>
      <w:r>
        <w:rPr>
          <w:color w:val="000000"/>
          <w:sz w:val="20"/>
        </w:rPr>
        <w:t>p</w:t>
      </w:r>
      <w:r w:rsidRPr="00940099">
        <w:rPr>
          <w:color w:val="000000"/>
          <w:sz w:val="20"/>
        </w:rPr>
        <w:t>lan's offered investment funds, by turning in the investment</w:t>
      </w:r>
      <w:r w:rsidRPr="00940099">
        <w:rPr>
          <w:sz w:val="20"/>
        </w:rPr>
        <w:t xml:space="preserve"> election form to the Office of Human Resource Services</w:t>
      </w:r>
      <w:r>
        <w:rPr>
          <w:sz w:val="20"/>
        </w:rPr>
        <w:t xml:space="preserve"> or following the instructions to change your investments through your on-line account at www.tiaa-cref.org</w:t>
      </w:r>
      <w:r w:rsidRPr="00940099">
        <w:rPr>
          <w:sz w:val="20"/>
        </w:rPr>
        <w:t>.</w:t>
      </w:r>
    </w:p>
    <w:p w:rsidR="00370D18" w:rsidRPr="00940099" w:rsidRDefault="00370D18" w:rsidP="00370D18">
      <w:pPr>
        <w:spacing w:before="240"/>
        <w:jc w:val="both"/>
        <w:rPr>
          <w:sz w:val="20"/>
        </w:rPr>
      </w:pPr>
      <w:r>
        <w:rPr>
          <w:sz w:val="20"/>
        </w:rPr>
        <w:t xml:space="preserve">Effective </w:t>
      </w:r>
      <w:r w:rsidR="005F41FE">
        <w:rPr>
          <w:sz w:val="20"/>
        </w:rPr>
        <w:t xml:space="preserve">plan year </w:t>
      </w:r>
      <w:r w:rsidR="006A0E2A">
        <w:rPr>
          <w:sz w:val="20"/>
        </w:rPr>
        <w:t>J</w:t>
      </w:r>
      <w:r>
        <w:rPr>
          <w:sz w:val="20"/>
        </w:rPr>
        <w:t>anuary 1, 2010, u</w:t>
      </w:r>
      <w:r w:rsidRPr="00940099">
        <w:rPr>
          <w:sz w:val="20"/>
        </w:rPr>
        <w:t xml:space="preserve">nless you choose a different investment fund or funds, your </w:t>
      </w:r>
      <w:r>
        <w:rPr>
          <w:sz w:val="20"/>
        </w:rPr>
        <w:t>p</w:t>
      </w:r>
      <w:r w:rsidRPr="00940099">
        <w:rPr>
          <w:sz w:val="20"/>
        </w:rPr>
        <w:t xml:space="preserve">lan account will be </w:t>
      </w:r>
      <w:r>
        <w:rPr>
          <w:sz w:val="20"/>
        </w:rPr>
        <w:t xml:space="preserve">automatically </w:t>
      </w:r>
      <w:r w:rsidRPr="00940099">
        <w:rPr>
          <w:sz w:val="20"/>
        </w:rPr>
        <w:t xml:space="preserve">invested in the default investment option for the </w:t>
      </w:r>
      <w:r>
        <w:rPr>
          <w:sz w:val="20"/>
        </w:rPr>
        <w:t>p</w:t>
      </w:r>
      <w:r w:rsidRPr="00940099">
        <w:rPr>
          <w:sz w:val="20"/>
        </w:rPr>
        <w:t>lan, which is the age-based TIAA-CREF Lifecycle Fund - Institutional Class that corresponds to your estimated date of retirement.  The TIAA-CREF Lifecycle Funds provide a ready-made diversified portfolio using TIAA-CREF mutual funds as underlying investments that include both equity and fixed-income instruments.  The allocation strategy for the underlying equity, fixed-income and short-term mutual funds is based on the number of years expected to reach the target retirement dates.  These funds seek to provide high total returns until the target retirement date.  Each fund's goal will be to seek high current income and as a secondary objective, capital appreciation.  Each fund's target asset allocation percentages will automatically change over time to become more conservative by gradually reducing the allocation to equity funds and increasing the allocation to fixed-income and short-term funds.  If the default investment fund changes at any time in the future, you will be notified.</w:t>
      </w:r>
    </w:p>
    <w:p w:rsidR="00370D18" w:rsidRDefault="00370D18" w:rsidP="00370D18">
      <w:pPr>
        <w:spacing w:before="240"/>
        <w:jc w:val="both"/>
        <w:rPr>
          <w:sz w:val="20"/>
        </w:rPr>
      </w:pPr>
      <w:r w:rsidRPr="00940099">
        <w:rPr>
          <w:sz w:val="20"/>
        </w:rPr>
        <w:t>As of September 30, 2008, the total annual fund operating expense associated with the various TIAA¬CREF Lifecycle Funds - Institutional Class (</w:t>
      </w:r>
      <w:r>
        <w:rPr>
          <w:sz w:val="20"/>
        </w:rPr>
        <w:t xml:space="preserve">Lifecycle Fund 2010, </w:t>
      </w:r>
      <w:r w:rsidRPr="00940099">
        <w:rPr>
          <w:sz w:val="20"/>
        </w:rPr>
        <w:t>Lifecycle Fund 2015, Lifecycle Fund 2020, Lifecycle Fund 2025, Lifecycle Fund 2030, Lifecycle Fund 2035, Lifecycle Fund 2040, Lifecycle Fund 2045, and Lifecycle Fund 2050) ranged from 0.58% to 7.46%.</w:t>
      </w:r>
    </w:p>
    <w:p w:rsidR="00370D18" w:rsidRPr="00940099" w:rsidRDefault="00370D18" w:rsidP="00370D18">
      <w:pPr>
        <w:spacing w:before="240" w:after="240"/>
        <w:jc w:val="both"/>
        <w:rPr>
          <w:sz w:val="20"/>
        </w:rPr>
      </w:pPr>
      <w:r>
        <w:rPr>
          <w:sz w:val="20"/>
        </w:rPr>
        <w:t>T</w:t>
      </w:r>
      <w:r w:rsidRPr="00940099">
        <w:rPr>
          <w:sz w:val="20"/>
        </w:rPr>
        <w:t>he average annual total returns for the TIAA-CREF Lifecycle Funds - Institutional Class were:</w:t>
      </w:r>
    </w:p>
    <w:tbl>
      <w:tblPr>
        <w:tblW w:w="89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440"/>
        <w:gridCol w:w="1080"/>
        <w:gridCol w:w="1080"/>
        <w:gridCol w:w="1080"/>
        <w:gridCol w:w="1080"/>
        <w:gridCol w:w="1260"/>
      </w:tblGrid>
      <w:tr w:rsidR="00370D18" w:rsidRPr="00370D18">
        <w:trPr>
          <w:trHeight w:val="593"/>
        </w:trPr>
        <w:tc>
          <w:tcPr>
            <w:tcW w:w="1908" w:type="dxa"/>
            <w:vMerge w:val="restart"/>
          </w:tcPr>
          <w:p w:rsidR="00370D18" w:rsidRPr="00370D18" w:rsidRDefault="00370D18" w:rsidP="00370D18">
            <w:pPr>
              <w:spacing w:before="240" w:after="240"/>
              <w:jc w:val="both"/>
              <w:rPr>
                <w:sz w:val="20"/>
              </w:rPr>
            </w:pPr>
            <w:r w:rsidRPr="00370D18">
              <w:rPr>
                <w:sz w:val="20"/>
              </w:rPr>
              <w:br w:type="page"/>
            </w:r>
          </w:p>
        </w:tc>
        <w:tc>
          <w:tcPr>
            <w:tcW w:w="1440" w:type="dxa"/>
            <w:vMerge w:val="restart"/>
          </w:tcPr>
          <w:p w:rsidR="00370D18" w:rsidRPr="00370D18" w:rsidRDefault="00370D18" w:rsidP="00370D18">
            <w:pPr>
              <w:spacing w:before="120"/>
              <w:jc w:val="center"/>
              <w:rPr>
                <w:b/>
                <w:sz w:val="20"/>
              </w:rPr>
            </w:pPr>
            <w:r w:rsidRPr="00370D18">
              <w:rPr>
                <w:b/>
                <w:sz w:val="20"/>
              </w:rPr>
              <w:t>YTD</w:t>
            </w:r>
          </w:p>
          <w:p w:rsidR="00370D18" w:rsidRPr="00370D18" w:rsidRDefault="00370D18" w:rsidP="00370D18">
            <w:pPr>
              <w:jc w:val="center"/>
              <w:rPr>
                <w:b/>
                <w:sz w:val="20"/>
              </w:rPr>
            </w:pPr>
            <w:r w:rsidRPr="00370D18">
              <w:rPr>
                <w:b/>
                <w:sz w:val="20"/>
              </w:rPr>
              <w:t>Return</w:t>
            </w:r>
          </w:p>
          <w:p w:rsidR="00370D18" w:rsidRPr="00370D18" w:rsidRDefault="00370D18" w:rsidP="00370D18">
            <w:pPr>
              <w:jc w:val="center"/>
              <w:rPr>
                <w:b/>
                <w:sz w:val="20"/>
              </w:rPr>
            </w:pPr>
            <w:r w:rsidRPr="00370D18">
              <w:rPr>
                <w:b/>
                <w:sz w:val="20"/>
              </w:rPr>
              <w:t>as of</w:t>
            </w:r>
          </w:p>
          <w:p w:rsidR="00370D18" w:rsidRPr="00370D18" w:rsidRDefault="00370D18" w:rsidP="00370D18">
            <w:pPr>
              <w:spacing w:after="120"/>
              <w:jc w:val="center"/>
              <w:rPr>
                <w:sz w:val="20"/>
              </w:rPr>
            </w:pPr>
            <w:r w:rsidRPr="00370D18">
              <w:rPr>
                <w:b/>
                <w:sz w:val="20"/>
              </w:rPr>
              <w:t>11/30/2009</w:t>
            </w:r>
          </w:p>
        </w:tc>
        <w:tc>
          <w:tcPr>
            <w:tcW w:w="5580" w:type="dxa"/>
            <w:gridSpan w:val="5"/>
          </w:tcPr>
          <w:p w:rsidR="00370D18" w:rsidRPr="00370D18" w:rsidRDefault="00370D18" w:rsidP="00370D18">
            <w:pPr>
              <w:spacing w:before="200"/>
              <w:jc w:val="center"/>
              <w:rPr>
                <w:sz w:val="20"/>
              </w:rPr>
            </w:pPr>
            <w:r w:rsidRPr="00370D18">
              <w:rPr>
                <w:b/>
                <w:caps/>
                <w:sz w:val="20"/>
              </w:rPr>
              <w:t>Average Annual Total Returns As of 10/31/2009</w:t>
            </w:r>
          </w:p>
        </w:tc>
      </w:tr>
      <w:tr w:rsidR="00370D18" w:rsidRPr="00370D18">
        <w:trPr>
          <w:trHeight w:val="592"/>
        </w:trPr>
        <w:tc>
          <w:tcPr>
            <w:tcW w:w="1908" w:type="dxa"/>
            <w:vMerge/>
          </w:tcPr>
          <w:p w:rsidR="00370D18" w:rsidRPr="00370D18" w:rsidRDefault="00370D18" w:rsidP="00370D18">
            <w:pPr>
              <w:spacing w:before="240" w:after="240"/>
              <w:jc w:val="both"/>
              <w:rPr>
                <w:sz w:val="20"/>
              </w:rPr>
            </w:pPr>
          </w:p>
        </w:tc>
        <w:tc>
          <w:tcPr>
            <w:tcW w:w="1440" w:type="dxa"/>
            <w:vMerge/>
          </w:tcPr>
          <w:p w:rsidR="00370D18" w:rsidRPr="00370D18" w:rsidRDefault="00370D18" w:rsidP="00370D18">
            <w:pPr>
              <w:spacing w:before="120"/>
              <w:jc w:val="center"/>
              <w:rPr>
                <w:sz w:val="20"/>
              </w:rPr>
            </w:pPr>
          </w:p>
        </w:tc>
        <w:tc>
          <w:tcPr>
            <w:tcW w:w="1080" w:type="dxa"/>
          </w:tcPr>
          <w:p w:rsidR="00370D18" w:rsidRPr="00370D18" w:rsidRDefault="00370D18" w:rsidP="00370D18">
            <w:pPr>
              <w:jc w:val="center"/>
              <w:rPr>
                <w:b/>
                <w:sz w:val="20"/>
              </w:rPr>
            </w:pPr>
            <w:r w:rsidRPr="00370D18">
              <w:rPr>
                <w:b/>
                <w:sz w:val="20"/>
              </w:rPr>
              <w:t>1 Year</w:t>
            </w:r>
          </w:p>
        </w:tc>
        <w:tc>
          <w:tcPr>
            <w:tcW w:w="1080" w:type="dxa"/>
            <w:shd w:val="clear" w:color="auto" w:fill="auto"/>
          </w:tcPr>
          <w:p w:rsidR="00370D18" w:rsidRPr="00370D18" w:rsidRDefault="00370D18" w:rsidP="00370D18">
            <w:pPr>
              <w:jc w:val="center"/>
              <w:rPr>
                <w:b/>
                <w:sz w:val="20"/>
              </w:rPr>
            </w:pPr>
            <w:r w:rsidRPr="00370D18">
              <w:rPr>
                <w:b/>
                <w:sz w:val="20"/>
              </w:rPr>
              <w:t>3 Year</w:t>
            </w:r>
          </w:p>
        </w:tc>
        <w:tc>
          <w:tcPr>
            <w:tcW w:w="1080" w:type="dxa"/>
            <w:shd w:val="clear" w:color="auto" w:fill="auto"/>
          </w:tcPr>
          <w:p w:rsidR="00370D18" w:rsidRPr="00370D18" w:rsidRDefault="00370D18" w:rsidP="00370D18">
            <w:pPr>
              <w:jc w:val="center"/>
              <w:rPr>
                <w:b/>
                <w:sz w:val="20"/>
              </w:rPr>
            </w:pPr>
            <w:r w:rsidRPr="00370D18">
              <w:rPr>
                <w:b/>
                <w:sz w:val="20"/>
              </w:rPr>
              <w:t>5 Year</w:t>
            </w:r>
          </w:p>
        </w:tc>
        <w:tc>
          <w:tcPr>
            <w:tcW w:w="1080" w:type="dxa"/>
            <w:shd w:val="clear" w:color="auto" w:fill="auto"/>
          </w:tcPr>
          <w:p w:rsidR="00370D18" w:rsidRPr="00370D18" w:rsidRDefault="00370D18" w:rsidP="00370D18">
            <w:pPr>
              <w:jc w:val="center"/>
              <w:rPr>
                <w:b/>
                <w:sz w:val="20"/>
              </w:rPr>
            </w:pPr>
            <w:r w:rsidRPr="00370D18">
              <w:rPr>
                <w:b/>
                <w:sz w:val="20"/>
              </w:rPr>
              <w:t>10 Year</w:t>
            </w:r>
          </w:p>
        </w:tc>
        <w:tc>
          <w:tcPr>
            <w:tcW w:w="1260" w:type="dxa"/>
            <w:shd w:val="clear" w:color="auto" w:fill="auto"/>
          </w:tcPr>
          <w:p w:rsidR="00370D18" w:rsidRPr="00370D18" w:rsidRDefault="00370D18" w:rsidP="00370D18">
            <w:pPr>
              <w:jc w:val="center"/>
              <w:rPr>
                <w:b/>
                <w:sz w:val="20"/>
              </w:rPr>
            </w:pPr>
            <w:r w:rsidRPr="00370D18">
              <w:rPr>
                <w:b/>
                <w:sz w:val="20"/>
              </w:rPr>
              <w:t>Since Inception</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2010</w:t>
            </w:r>
          </w:p>
        </w:tc>
        <w:tc>
          <w:tcPr>
            <w:tcW w:w="1440" w:type="dxa"/>
          </w:tcPr>
          <w:p w:rsidR="00370D18" w:rsidRPr="00370D18" w:rsidRDefault="00370D18" w:rsidP="00370D18">
            <w:pPr>
              <w:spacing w:before="40" w:after="40"/>
              <w:jc w:val="center"/>
              <w:rPr>
                <w:sz w:val="20"/>
              </w:rPr>
            </w:pPr>
            <w:r w:rsidRPr="00370D18">
              <w:rPr>
                <w:sz w:val="20"/>
              </w:rPr>
              <w:t>18.68%</w:t>
            </w:r>
          </w:p>
        </w:tc>
        <w:tc>
          <w:tcPr>
            <w:tcW w:w="1080" w:type="dxa"/>
          </w:tcPr>
          <w:p w:rsidR="00370D18" w:rsidRPr="00370D18" w:rsidRDefault="00370D18" w:rsidP="00370D18">
            <w:pPr>
              <w:spacing w:before="40" w:after="40"/>
              <w:jc w:val="center"/>
              <w:rPr>
                <w:sz w:val="20"/>
              </w:rPr>
            </w:pPr>
            <w:r w:rsidRPr="00370D18">
              <w:rPr>
                <w:sz w:val="20"/>
              </w:rPr>
              <w:t>15.41%</w:t>
            </w:r>
          </w:p>
        </w:tc>
        <w:tc>
          <w:tcPr>
            <w:tcW w:w="1080" w:type="dxa"/>
          </w:tcPr>
          <w:p w:rsidR="00370D18" w:rsidRPr="00370D18" w:rsidRDefault="00370D18" w:rsidP="00370D18">
            <w:pPr>
              <w:spacing w:before="40" w:after="40"/>
              <w:jc w:val="center"/>
              <w:rPr>
                <w:sz w:val="20"/>
              </w:rPr>
            </w:pPr>
            <w:r w:rsidRPr="00370D18">
              <w:rPr>
                <w:sz w:val="20"/>
              </w:rPr>
              <w:t>-0.64%</w:t>
            </w:r>
          </w:p>
        </w:tc>
        <w:tc>
          <w:tcPr>
            <w:tcW w:w="1080" w:type="dxa"/>
          </w:tcPr>
          <w:p w:rsidR="00370D18" w:rsidRPr="00370D18" w:rsidRDefault="00370D18" w:rsidP="00370D18">
            <w:pPr>
              <w:spacing w:before="40" w:after="40"/>
              <w:jc w:val="center"/>
              <w:rPr>
                <w:sz w:val="20"/>
              </w:rPr>
            </w:pPr>
            <w:r w:rsidRPr="00370D18">
              <w:rPr>
                <w:sz w:val="20"/>
              </w:rPr>
              <w:t>2.77%</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3.01%</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2015</w:t>
            </w:r>
          </w:p>
        </w:tc>
        <w:tc>
          <w:tcPr>
            <w:tcW w:w="1440" w:type="dxa"/>
          </w:tcPr>
          <w:p w:rsidR="00370D18" w:rsidRPr="00370D18" w:rsidRDefault="00370D18" w:rsidP="00370D18">
            <w:pPr>
              <w:spacing w:before="40" w:after="40"/>
              <w:jc w:val="center"/>
              <w:rPr>
                <w:sz w:val="20"/>
              </w:rPr>
            </w:pPr>
            <w:r w:rsidRPr="00370D18">
              <w:rPr>
                <w:sz w:val="20"/>
              </w:rPr>
              <w:t>20.35%</w:t>
            </w:r>
          </w:p>
        </w:tc>
        <w:tc>
          <w:tcPr>
            <w:tcW w:w="1080" w:type="dxa"/>
          </w:tcPr>
          <w:p w:rsidR="00370D18" w:rsidRPr="00370D18" w:rsidRDefault="00370D18" w:rsidP="00370D18">
            <w:pPr>
              <w:spacing w:before="40" w:after="40"/>
              <w:jc w:val="center"/>
              <w:rPr>
                <w:sz w:val="20"/>
              </w:rPr>
            </w:pPr>
            <w:r w:rsidRPr="00370D18">
              <w:rPr>
                <w:sz w:val="20"/>
              </w:rPr>
              <w:t>15.81%</w:t>
            </w:r>
          </w:p>
        </w:tc>
        <w:tc>
          <w:tcPr>
            <w:tcW w:w="1080" w:type="dxa"/>
          </w:tcPr>
          <w:p w:rsidR="00370D18" w:rsidRPr="00370D18" w:rsidRDefault="00370D18" w:rsidP="00370D18">
            <w:pPr>
              <w:spacing w:before="40" w:after="40"/>
              <w:jc w:val="center"/>
              <w:rPr>
                <w:sz w:val="20"/>
              </w:rPr>
            </w:pPr>
            <w:r w:rsidRPr="00370D18">
              <w:rPr>
                <w:sz w:val="20"/>
              </w:rPr>
              <w:t>-1.56%</w:t>
            </w:r>
          </w:p>
        </w:tc>
        <w:tc>
          <w:tcPr>
            <w:tcW w:w="1080" w:type="dxa"/>
          </w:tcPr>
          <w:p w:rsidR="00370D18" w:rsidRPr="00370D18" w:rsidRDefault="00370D18" w:rsidP="00370D18">
            <w:pPr>
              <w:spacing w:before="40" w:after="40"/>
              <w:jc w:val="center"/>
              <w:rPr>
                <w:sz w:val="20"/>
              </w:rPr>
            </w:pPr>
            <w:r w:rsidRPr="00370D18">
              <w:rPr>
                <w:sz w:val="20"/>
              </w:rPr>
              <w:t>2.46%</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2.74%</w:t>
            </w:r>
          </w:p>
        </w:tc>
      </w:tr>
      <w:tr w:rsidR="00370D18" w:rsidRPr="00370D18">
        <w:tc>
          <w:tcPr>
            <w:tcW w:w="1908" w:type="dxa"/>
          </w:tcPr>
          <w:p w:rsidR="00370D18" w:rsidRPr="00370D18" w:rsidRDefault="00370D18" w:rsidP="00370D18">
            <w:pPr>
              <w:spacing w:before="40" w:after="40"/>
              <w:jc w:val="both"/>
              <w:rPr>
                <w:sz w:val="20"/>
              </w:rPr>
            </w:pPr>
            <w:r w:rsidRPr="00370D18">
              <w:rPr>
                <w:sz w:val="20"/>
              </w:rPr>
              <w:lastRenderedPageBreak/>
              <w:t>Lifecycle Fund 2020</w:t>
            </w:r>
          </w:p>
        </w:tc>
        <w:tc>
          <w:tcPr>
            <w:tcW w:w="1440" w:type="dxa"/>
          </w:tcPr>
          <w:p w:rsidR="00370D18" w:rsidRPr="00370D18" w:rsidRDefault="00370D18" w:rsidP="00370D18">
            <w:pPr>
              <w:spacing w:before="40" w:after="40"/>
              <w:jc w:val="center"/>
              <w:rPr>
                <w:sz w:val="20"/>
              </w:rPr>
            </w:pPr>
            <w:r w:rsidRPr="00370D18">
              <w:rPr>
                <w:sz w:val="20"/>
              </w:rPr>
              <w:t>21.81%</w:t>
            </w:r>
          </w:p>
        </w:tc>
        <w:tc>
          <w:tcPr>
            <w:tcW w:w="1080" w:type="dxa"/>
          </w:tcPr>
          <w:p w:rsidR="00370D18" w:rsidRPr="00370D18" w:rsidRDefault="00370D18" w:rsidP="00370D18">
            <w:pPr>
              <w:spacing w:before="40" w:after="40"/>
              <w:jc w:val="center"/>
              <w:rPr>
                <w:sz w:val="20"/>
              </w:rPr>
            </w:pPr>
            <w:r w:rsidRPr="00370D18">
              <w:rPr>
                <w:sz w:val="20"/>
              </w:rPr>
              <w:t>15.94%</w:t>
            </w:r>
          </w:p>
        </w:tc>
        <w:tc>
          <w:tcPr>
            <w:tcW w:w="1080" w:type="dxa"/>
          </w:tcPr>
          <w:p w:rsidR="00370D18" w:rsidRPr="00370D18" w:rsidRDefault="00370D18" w:rsidP="00370D18">
            <w:pPr>
              <w:spacing w:before="40" w:after="40"/>
              <w:jc w:val="center"/>
              <w:rPr>
                <w:sz w:val="20"/>
              </w:rPr>
            </w:pPr>
            <w:r w:rsidRPr="00370D18">
              <w:rPr>
                <w:sz w:val="20"/>
              </w:rPr>
              <w:t>-2.83%</w:t>
            </w:r>
          </w:p>
        </w:tc>
        <w:tc>
          <w:tcPr>
            <w:tcW w:w="1080" w:type="dxa"/>
          </w:tcPr>
          <w:p w:rsidR="00370D18" w:rsidRPr="00370D18" w:rsidRDefault="00370D18" w:rsidP="00370D18">
            <w:pPr>
              <w:spacing w:before="40" w:after="40"/>
              <w:jc w:val="center"/>
              <w:rPr>
                <w:sz w:val="20"/>
              </w:rPr>
            </w:pPr>
            <w:r w:rsidRPr="00370D18">
              <w:rPr>
                <w:sz w:val="20"/>
              </w:rPr>
              <w:t>1.92%</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2.21%</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2025</w:t>
            </w:r>
          </w:p>
        </w:tc>
        <w:tc>
          <w:tcPr>
            <w:tcW w:w="1440" w:type="dxa"/>
          </w:tcPr>
          <w:p w:rsidR="00370D18" w:rsidRPr="00370D18" w:rsidRDefault="00370D18" w:rsidP="00370D18">
            <w:pPr>
              <w:spacing w:before="40" w:after="40"/>
              <w:jc w:val="center"/>
              <w:rPr>
                <w:sz w:val="20"/>
              </w:rPr>
            </w:pPr>
            <w:r w:rsidRPr="00370D18">
              <w:rPr>
                <w:sz w:val="20"/>
              </w:rPr>
              <w:t>23.22%</w:t>
            </w:r>
          </w:p>
        </w:tc>
        <w:tc>
          <w:tcPr>
            <w:tcW w:w="1080" w:type="dxa"/>
          </w:tcPr>
          <w:p w:rsidR="00370D18" w:rsidRPr="00370D18" w:rsidRDefault="00370D18" w:rsidP="00370D18">
            <w:pPr>
              <w:spacing w:before="40" w:after="40"/>
              <w:jc w:val="center"/>
              <w:rPr>
                <w:sz w:val="20"/>
              </w:rPr>
            </w:pPr>
            <w:r w:rsidRPr="00370D18">
              <w:rPr>
                <w:sz w:val="20"/>
              </w:rPr>
              <w:t>15.95%</w:t>
            </w:r>
          </w:p>
        </w:tc>
        <w:tc>
          <w:tcPr>
            <w:tcW w:w="1080" w:type="dxa"/>
          </w:tcPr>
          <w:p w:rsidR="00370D18" w:rsidRPr="00370D18" w:rsidRDefault="00370D18" w:rsidP="00370D18">
            <w:pPr>
              <w:spacing w:before="40" w:after="40"/>
              <w:jc w:val="center"/>
              <w:rPr>
                <w:sz w:val="20"/>
              </w:rPr>
            </w:pPr>
            <w:r w:rsidRPr="00370D18">
              <w:rPr>
                <w:sz w:val="20"/>
              </w:rPr>
              <w:t>-3.94%</w:t>
            </w:r>
          </w:p>
        </w:tc>
        <w:tc>
          <w:tcPr>
            <w:tcW w:w="1080" w:type="dxa"/>
          </w:tcPr>
          <w:p w:rsidR="00370D18" w:rsidRPr="00370D18" w:rsidRDefault="00370D18" w:rsidP="00370D18">
            <w:pPr>
              <w:spacing w:before="40" w:after="40"/>
              <w:jc w:val="center"/>
              <w:rPr>
                <w:sz w:val="20"/>
              </w:rPr>
            </w:pPr>
            <w:r w:rsidRPr="00370D18">
              <w:rPr>
                <w:sz w:val="20"/>
              </w:rPr>
              <w:t>1.43%</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1.76%</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2030</w:t>
            </w:r>
          </w:p>
        </w:tc>
        <w:tc>
          <w:tcPr>
            <w:tcW w:w="1440" w:type="dxa"/>
          </w:tcPr>
          <w:p w:rsidR="00370D18" w:rsidRPr="00370D18" w:rsidRDefault="00370D18" w:rsidP="00370D18">
            <w:pPr>
              <w:spacing w:before="40" w:after="40"/>
              <w:jc w:val="center"/>
              <w:rPr>
                <w:sz w:val="20"/>
              </w:rPr>
            </w:pPr>
            <w:r w:rsidRPr="00370D18">
              <w:rPr>
                <w:sz w:val="20"/>
              </w:rPr>
              <w:t>24.50%</w:t>
            </w:r>
          </w:p>
        </w:tc>
        <w:tc>
          <w:tcPr>
            <w:tcW w:w="1080" w:type="dxa"/>
          </w:tcPr>
          <w:p w:rsidR="00370D18" w:rsidRPr="00370D18" w:rsidRDefault="00370D18" w:rsidP="00370D18">
            <w:pPr>
              <w:spacing w:before="40" w:after="40"/>
              <w:jc w:val="center"/>
              <w:rPr>
                <w:sz w:val="20"/>
              </w:rPr>
            </w:pPr>
            <w:r w:rsidRPr="00370D18">
              <w:rPr>
                <w:sz w:val="20"/>
              </w:rPr>
              <w:t>15.77%</w:t>
            </w:r>
          </w:p>
        </w:tc>
        <w:tc>
          <w:tcPr>
            <w:tcW w:w="1080" w:type="dxa"/>
          </w:tcPr>
          <w:p w:rsidR="00370D18" w:rsidRPr="00370D18" w:rsidRDefault="00370D18" w:rsidP="00370D18">
            <w:pPr>
              <w:spacing w:before="40" w:after="40"/>
              <w:jc w:val="center"/>
              <w:rPr>
                <w:sz w:val="20"/>
              </w:rPr>
            </w:pPr>
            <w:r w:rsidRPr="00370D18">
              <w:rPr>
                <w:sz w:val="20"/>
              </w:rPr>
              <w:t>-5.10%</w:t>
            </w:r>
          </w:p>
        </w:tc>
        <w:tc>
          <w:tcPr>
            <w:tcW w:w="1080" w:type="dxa"/>
          </w:tcPr>
          <w:p w:rsidR="00370D18" w:rsidRPr="00370D18" w:rsidRDefault="00370D18" w:rsidP="00370D18">
            <w:pPr>
              <w:spacing w:before="40" w:after="40"/>
              <w:jc w:val="center"/>
              <w:rPr>
                <w:sz w:val="20"/>
              </w:rPr>
            </w:pPr>
            <w:r w:rsidRPr="00370D18">
              <w:rPr>
                <w:sz w:val="20"/>
              </w:rPr>
              <w:t>0.86%</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1.19%</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2035</w:t>
            </w:r>
          </w:p>
        </w:tc>
        <w:tc>
          <w:tcPr>
            <w:tcW w:w="1440" w:type="dxa"/>
          </w:tcPr>
          <w:p w:rsidR="00370D18" w:rsidRPr="00370D18" w:rsidRDefault="00370D18" w:rsidP="00370D18">
            <w:pPr>
              <w:spacing w:before="40" w:after="40"/>
              <w:jc w:val="center"/>
              <w:rPr>
                <w:sz w:val="20"/>
              </w:rPr>
            </w:pPr>
            <w:r w:rsidRPr="00370D18">
              <w:rPr>
                <w:sz w:val="20"/>
              </w:rPr>
              <w:t>25.76%</w:t>
            </w:r>
          </w:p>
        </w:tc>
        <w:tc>
          <w:tcPr>
            <w:tcW w:w="1080" w:type="dxa"/>
          </w:tcPr>
          <w:p w:rsidR="00370D18" w:rsidRPr="00370D18" w:rsidRDefault="00370D18" w:rsidP="00370D18">
            <w:pPr>
              <w:spacing w:before="40" w:after="40"/>
              <w:jc w:val="center"/>
              <w:rPr>
                <w:sz w:val="20"/>
              </w:rPr>
            </w:pPr>
            <w:r w:rsidRPr="00370D18">
              <w:rPr>
                <w:sz w:val="20"/>
              </w:rPr>
              <w:t>16.00%</w:t>
            </w:r>
          </w:p>
        </w:tc>
        <w:tc>
          <w:tcPr>
            <w:tcW w:w="1080" w:type="dxa"/>
          </w:tcPr>
          <w:p w:rsidR="00370D18" w:rsidRPr="00370D18" w:rsidRDefault="00370D18" w:rsidP="00370D18">
            <w:pPr>
              <w:spacing w:before="40" w:after="40"/>
              <w:jc w:val="center"/>
              <w:rPr>
                <w:sz w:val="20"/>
              </w:rPr>
            </w:pPr>
            <w:r w:rsidRPr="00370D18">
              <w:rPr>
                <w:sz w:val="20"/>
              </w:rPr>
              <w:t>-5.55%</w:t>
            </w:r>
          </w:p>
        </w:tc>
        <w:tc>
          <w:tcPr>
            <w:tcW w:w="1080" w:type="dxa"/>
          </w:tcPr>
          <w:p w:rsidR="00370D18" w:rsidRPr="00370D18" w:rsidRDefault="00370D18" w:rsidP="00370D18">
            <w:pPr>
              <w:spacing w:before="40" w:after="40"/>
              <w:jc w:val="center"/>
              <w:rPr>
                <w:sz w:val="20"/>
              </w:rPr>
            </w:pPr>
            <w:r w:rsidRPr="00370D18">
              <w:rPr>
                <w:sz w:val="20"/>
              </w:rPr>
              <w:t>0.78%</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1.14%</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2040</w:t>
            </w:r>
          </w:p>
        </w:tc>
        <w:tc>
          <w:tcPr>
            <w:tcW w:w="1440" w:type="dxa"/>
          </w:tcPr>
          <w:p w:rsidR="00370D18" w:rsidRPr="00370D18" w:rsidRDefault="00370D18" w:rsidP="00370D18">
            <w:pPr>
              <w:spacing w:before="40" w:after="40"/>
              <w:jc w:val="center"/>
              <w:rPr>
                <w:sz w:val="20"/>
              </w:rPr>
            </w:pPr>
            <w:r w:rsidRPr="00370D18">
              <w:rPr>
                <w:sz w:val="20"/>
              </w:rPr>
              <w:t>25.71%</w:t>
            </w:r>
          </w:p>
        </w:tc>
        <w:tc>
          <w:tcPr>
            <w:tcW w:w="1080" w:type="dxa"/>
          </w:tcPr>
          <w:p w:rsidR="00370D18" w:rsidRPr="00370D18" w:rsidRDefault="00370D18" w:rsidP="00370D18">
            <w:pPr>
              <w:spacing w:before="40" w:after="40"/>
              <w:jc w:val="center"/>
              <w:rPr>
                <w:sz w:val="20"/>
              </w:rPr>
            </w:pPr>
            <w:r w:rsidRPr="00370D18">
              <w:rPr>
                <w:sz w:val="20"/>
              </w:rPr>
              <w:t>16.05%</w:t>
            </w:r>
          </w:p>
        </w:tc>
        <w:tc>
          <w:tcPr>
            <w:tcW w:w="1080" w:type="dxa"/>
          </w:tcPr>
          <w:p w:rsidR="00370D18" w:rsidRPr="00370D18" w:rsidRDefault="00370D18" w:rsidP="00370D18">
            <w:pPr>
              <w:spacing w:before="40" w:after="40"/>
              <w:jc w:val="center"/>
              <w:rPr>
                <w:sz w:val="20"/>
              </w:rPr>
            </w:pPr>
            <w:r w:rsidRPr="00370D18">
              <w:rPr>
                <w:sz w:val="20"/>
              </w:rPr>
              <w:t>-5.29%</w:t>
            </w:r>
          </w:p>
        </w:tc>
        <w:tc>
          <w:tcPr>
            <w:tcW w:w="1080" w:type="dxa"/>
          </w:tcPr>
          <w:p w:rsidR="00370D18" w:rsidRPr="00370D18" w:rsidRDefault="00370D18" w:rsidP="00370D18">
            <w:pPr>
              <w:spacing w:before="40" w:after="40"/>
              <w:jc w:val="center"/>
              <w:rPr>
                <w:sz w:val="20"/>
              </w:rPr>
            </w:pPr>
            <w:r w:rsidRPr="00370D18">
              <w:rPr>
                <w:sz w:val="20"/>
              </w:rPr>
              <w:t>1.16%</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1.53%</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2045</w:t>
            </w:r>
          </w:p>
        </w:tc>
        <w:tc>
          <w:tcPr>
            <w:tcW w:w="1440" w:type="dxa"/>
          </w:tcPr>
          <w:p w:rsidR="00370D18" w:rsidRPr="00370D18" w:rsidRDefault="00370D18" w:rsidP="00370D18">
            <w:pPr>
              <w:spacing w:before="40" w:after="40"/>
              <w:jc w:val="center"/>
              <w:rPr>
                <w:sz w:val="20"/>
              </w:rPr>
            </w:pPr>
            <w:r w:rsidRPr="00370D18">
              <w:rPr>
                <w:sz w:val="20"/>
              </w:rPr>
              <w:t>25.82%</w:t>
            </w:r>
          </w:p>
        </w:tc>
        <w:tc>
          <w:tcPr>
            <w:tcW w:w="1080" w:type="dxa"/>
          </w:tcPr>
          <w:p w:rsidR="00370D18" w:rsidRPr="00370D18" w:rsidRDefault="00370D18" w:rsidP="00370D18">
            <w:pPr>
              <w:spacing w:before="40" w:after="40"/>
              <w:jc w:val="center"/>
              <w:rPr>
                <w:sz w:val="20"/>
              </w:rPr>
            </w:pPr>
            <w:r w:rsidRPr="00370D18">
              <w:rPr>
                <w:sz w:val="20"/>
              </w:rPr>
              <w:t>15.67%</w:t>
            </w:r>
          </w:p>
        </w:tc>
        <w:tc>
          <w:tcPr>
            <w:tcW w:w="1080" w:type="dxa"/>
          </w:tcPr>
          <w:p w:rsidR="00370D18" w:rsidRPr="00370D18" w:rsidRDefault="00370D18" w:rsidP="00370D18">
            <w:pPr>
              <w:spacing w:before="40" w:after="40"/>
              <w:jc w:val="center"/>
              <w:rPr>
                <w:sz w:val="20"/>
              </w:rPr>
            </w:pPr>
            <w:r w:rsidRPr="00370D18">
              <w:rPr>
                <w:sz w:val="20"/>
              </w:rPr>
              <w:t>--</w:t>
            </w:r>
          </w:p>
        </w:tc>
        <w:tc>
          <w:tcPr>
            <w:tcW w:w="1080" w:type="dxa"/>
          </w:tcPr>
          <w:p w:rsidR="00370D18" w:rsidRPr="00370D18" w:rsidRDefault="00370D18" w:rsidP="00370D18">
            <w:pPr>
              <w:spacing w:before="40" w:after="40"/>
              <w:jc w:val="center"/>
              <w:rPr>
                <w:sz w:val="20"/>
              </w:rPr>
            </w:pPr>
            <w:r w:rsidRPr="00370D18">
              <w:rPr>
                <w:sz w:val="20"/>
              </w:rPr>
              <w:t>--</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-14.90%</w:t>
            </w:r>
          </w:p>
        </w:tc>
      </w:tr>
      <w:tr w:rsidR="00370D18" w:rsidRPr="00370D18">
        <w:tc>
          <w:tcPr>
            <w:tcW w:w="1908" w:type="dxa"/>
          </w:tcPr>
          <w:p w:rsidR="00370D18" w:rsidRPr="00370D18" w:rsidRDefault="00370D18" w:rsidP="00370D18">
            <w:pPr>
              <w:spacing w:before="40" w:after="40"/>
              <w:jc w:val="both"/>
              <w:rPr>
                <w:sz w:val="20"/>
              </w:rPr>
            </w:pPr>
            <w:r w:rsidRPr="00370D18">
              <w:rPr>
                <w:sz w:val="20"/>
              </w:rPr>
              <w:t>Lifecycle Fund 2050</w:t>
            </w:r>
          </w:p>
        </w:tc>
        <w:tc>
          <w:tcPr>
            <w:tcW w:w="1440" w:type="dxa"/>
          </w:tcPr>
          <w:p w:rsidR="00370D18" w:rsidRPr="00370D18" w:rsidRDefault="00370D18" w:rsidP="00370D18">
            <w:pPr>
              <w:spacing w:before="40" w:after="40"/>
              <w:jc w:val="center"/>
              <w:rPr>
                <w:sz w:val="20"/>
              </w:rPr>
            </w:pPr>
            <w:r w:rsidRPr="00370D18">
              <w:rPr>
                <w:sz w:val="20"/>
              </w:rPr>
              <w:t>25.51%</w:t>
            </w:r>
          </w:p>
        </w:tc>
        <w:tc>
          <w:tcPr>
            <w:tcW w:w="1080" w:type="dxa"/>
          </w:tcPr>
          <w:p w:rsidR="00370D18" w:rsidRPr="00370D18" w:rsidRDefault="00370D18" w:rsidP="00370D18">
            <w:pPr>
              <w:spacing w:before="40" w:after="40"/>
              <w:jc w:val="center"/>
              <w:rPr>
                <w:sz w:val="20"/>
              </w:rPr>
            </w:pPr>
            <w:r w:rsidRPr="00370D18">
              <w:rPr>
                <w:sz w:val="20"/>
              </w:rPr>
              <w:t>14.66%</w:t>
            </w:r>
          </w:p>
        </w:tc>
        <w:tc>
          <w:tcPr>
            <w:tcW w:w="1080" w:type="dxa"/>
          </w:tcPr>
          <w:p w:rsidR="00370D18" w:rsidRPr="00370D18" w:rsidRDefault="00370D18" w:rsidP="00370D18">
            <w:pPr>
              <w:spacing w:before="40" w:after="40"/>
              <w:jc w:val="center"/>
              <w:rPr>
                <w:sz w:val="20"/>
              </w:rPr>
            </w:pPr>
            <w:r w:rsidRPr="00370D18">
              <w:rPr>
                <w:sz w:val="20"/>
              </w:rPr>
              <w:t>--</w:t>
            </w:r>
          </w:p>
        </w:tc>
        <w:tc>
          <w:tcPr>
            <w:tcW w:w="1080" w:type="dxa"/>
          </w:tcPr>
          <w:p w:rsidR="00370D18" w:rsidRPr="00370D18" w:rsidRDefault="00370D18" w:rsidP="00370D18">
            <w:pPr>
              <w:spacing w:before="40" w:after="40"/>
              <w:jc w:val="center"/>
              <w:rPr>
                <w:sz w:val="20"/>
              </w:rPr>
            </w:pPr>
            <w:r w:rsidRPr="00370D18">
              <w:rPr>
                <w:sz w:val="20"/>
              </w:rPr>
              <w:t>--</w:t>
            </w:r>
          </w:p>
        </w:tc>
        <w:tc>
          <w:tcPr>
            <w:tcW w:w="1080" w:type="dxa"/>
          </w:tcPr>
          <w:p w:rsidR="00370D18" w:rsidRPr="00370D18" w:rsidRDefault="00370D18" w:rsidP="00370D18">
            <w:pPr>
              <w:spacing w:before="40" w:after="40"/>
              <w:jc w:val="center"/>
              <w:rPr>
                <w:sz w:val="20"/>
              </w:rPr>
            </w:pPr>
            <w:r w:rsidRPr="00370D18">
              <w:rPr>
                <w:sz w:val="20"/>
              </w:rPr>
              <w:t>--</w:t>
            </w:r>
          </w:p>
        </w:tc>
        <w:tc>
          <w:tcPr>
            <w:tcW w:w="1260" w:type="dxa"/>
          </w:tcPr>
          <w:p w:rsidR="00370D18" w:rsidRPr="00370D18" w:rsidRDefault="00370D18" w:rsidP="00370D18">
            <w:pPr>
              <w:spacing w:before="40" w:after="40"/>
              <w:jc w:val="center"/>
              <w:rPr>
                <w:sz w:val="20"/>
              </w:rPr>
            </w:pPr>
            <w:r w:rsidRPr="00370D18">
              <w:rPr>
                <w:sz w:val="20"/>
              </w:rPr>
              <w:t>-15.01%</w:t>
            </w:r>
          </w:p>
        </w:tc>
      </w:tr>
    </w:tbl>
    <w:p w:rsidR="00370D18" w:rsidRPr="00941CA1" w:rsidRDefault="00370D18" w:rsidP="00370D18">
      <w:pPr>
        <w:spacing w:before="240"/>
        <w:jc w:val="both"/>
        <w:rPr>
          <w:color w:val="000000"/>
          <w:sz w:val="20"/>
        </w:rPr>
      </w:pPr>
      <w:r w:rsidRPr="00941CA1">
        <w:rPr>
          <w:color w:val="000000"/>
          <w:sz w:val="20"/>
        </w:rPr>
        <w:t xml:space="preserve">Additional information about the TIAA-CREF Lifecycle Funds - Institutional Class are available at </w:t>
      </w:r>
      <w:hyperlink r:id="rId8" w:history="1">
        <w:r w:rsidRPr="00941CA1">
          <w:rPr>
            <w:rStyle w:val="Hyperlink"/>
            <w:color w:val="000000"/>
            <w:sz w:val="20"/>
            <w:u w:val="none"/>
          </w:rPr>
          <w:t>http://www.tiaa-cref.org/prospectuses/index.html</w:t>
        </w:r>
      </w:hyperlink>
      <w:r w:rsidRPr="00941CA1">
        <w:rPr>
          <w:color w:val="000000"/>
          <w:sz w:val="20"/>
        </w:rPr>
        <w:t xml:space="preserve"> including the investment objectives, risk and return characteristics, and fees and expenses of the funds.  You can obtain updated information on fee expenses and a more detailed explanation of the TIAA-CREF Lifecycle Funds - Institutional Class at </w:t>
      </w:r>
      <w:hyperlink r:id="rId9" w:history="1">
        <w:r w:rsidRPr="00941CA1">
          <w:rPr>
            <w:rStyle w:val="Hyperlink"/>
            <w:color w:val="000000"/>
            <w:sz w:val="20"/>
            <w:u w:val="none"/>
          </w:rPr>
          <w:t>http://www.tiaa-cref.org/prospectuses/index.html</w:t>
        </w:r>
      </w:hyperlink>
      <w:r w:rsidRPr="00941CA1">
        <w:rPr>
          <w:color w:val="000000"/>
          <w:sz w:val="20"/>
        </w:rPr>
        <w:t xml:space="preserve"> or by contacting TIAA-CREF at 800.842.2776.</w:t>
      </w:r>
    </w:p>
    <w:p w:rsidR="00370D18" w:rsidRPr="00940099" w:rsidRDefault="00370D18" w:rsidP="00370D18">
      <w:pPr>
        <w:spacing w:before="240"/>
        <w:jc w:val="both"/>
        <w:rPr>
          <w:color w:val="000000"/>
          <w:sz w:val="20"/>
        </w:rPr>
      </w:pPr>
      <w:r w:rsidRPr="00941CA1">
        <w:rPr>
          <w:color w:val="000000"/>
          <w:sz w:val="20"/>
        </w:rPr>
        <w:t>You have the right to change the investment</w:t>
      </w:r>
      <w:r>
        <w:rPr>
          <w:color w:val="000000"/>
          <w:sz w:val="20"/>
        </w:rPr>
        <w:t>s</w:t>
      </w:r>
      <w:r w:rsidRPr="00941CA1">
        <w:rPr>
          <w:color w:val="000000"/>
          <w:sz w:val="20"/>
        </w:rPr>
        <w:t xml:space="preserve"> of your</w:t>
      </w:r>
      <w:r>
        <w:rPr>
          <w:color w:val="000000"/>
          <w:sz w:val="20"/>
        </w:rPr>
        <w:t xml:space="preserve"> plan</w:t>
      </w:r>
      <w:r w:rsidRPr="00941CA1">
        <w:rPr>
          <w:color w:val="000000"/>
          <w:sz w:val="20"/>
        </w:rPr>
        <w:t xml:space="preserve"> account at any time.  If you elect to change the investment of your account from one of the </w:t>
      </w:r>
      <w:r>
        <w:rPr>
          <w:color w:val="000000"/>
          <w:sz w:val="20"/>
        </w:rPr>
        <w:t xml:space="preserve">TIAA-CREF </w:t>
      </w:r>
      <w:r w:rsidRPr="00941CA1">
        <w:rPr>
          <w:color w:val="000000"/>
          <w:sz w:val="20"/>
        </w:rPr>
        <w:t>Lifecycle Funds</w:t>
      </w:r>
      <w:r>
        <w:rPr>
          <w:color w:val="000000"/>
          <w:sz w:val="20"/>
        </w:rPr>
        <w:t xml:space="preserve"> - Institutional Class</w:t>
      </w:r>
      <w:r w:rsidRPr="00941CA1">
        <w:rPr>
          <w:color w:val="000000"/>
          <w:sz w:val="20"/>
        </w:rPr>
        <w:t xml:space="preserve">, there are no fees or expenses imposed in connection with that transfer.  But certain restrictions may apply if multiple transfers are made from any one account during any 60-day period.  See the fund prospectus at </w:t>
      </w:r>
      <w:hyperlink r:id="rId10" w:history="1">
        <w:r w:rsidRPr="00941CA1">
          <w:rPr>
            <w:rStyle w:val="Hyperlink"/>
            <w:color w:val="000000"/>
            <w:sz w:val="20"/>
            <w:u w:val="none"/>
          </w:rPr>
          <w:t>http://www.tiaa-cref.org/prospectuses/index.html</w:t>
        </w:r>
      </w:hyperlink>
      <w:r w:rsidRPr="00941CA1">
        <w:rPr>
          <w:color w:val="000000"/>
          <w:sz w:val="20"/>
        </w:rPr>
        <w:t xml:space="preserve"> for more</w:t>
      </w:r>
      <w:r w:rsidRPr="00940099">
        <w:rPr>
          <w:color w:val="000000"/>
          <w:sz w:val="20"/>
        </w:rPr>
        <w:t xml:space="preserve"> details on restrictions on frequent transfers.</w:t>
      </w:r>
    </w:p>
    <w:p w:rsidR="00370D18" w:rsidRDefault="00370D18" w:rsidP="00370D18">
      <w:pPr>
        <w:spacing w:before="240"/>
        <w:jc w:val="both"/>
        <w:rPr>
          <w:sz w:val="20"/>
        </w:rPr>
      </w:pPr>
      <w:r w:rsidRPr="00940099">
        <w:rPr>
          <w:sz w:val="20"/>
        </w:rPr>
        <w:t xml:space="preserve">To learn more about the </w:t>
      </w:r>
      <w:r>
        <w:rPr>
          <w:sz w:val="20"/>
        </w:rPr>
        <w:t>p</w:t>
      </w:r>
      <w:r w:rsidRPr="00940099">
        <w:rPr>
          <w:sz w:val="20"/>
        </w:rPr>
        <w:t xml:space="preserve">lan's investment funds and procedures for changing how your </w:t>
      </w:r>
      <w:r>
        <w:rPr>
          <w:sz w:val="20"/>
        </w:rPr>
        <w:t>p</w:t>
      </w:r>
      <w:r w:rsidRPr="00940099">
        <w:rPr>
          <w:sz w:val="20"/>
        </w:rPr>
        <w:t xml:space="preserve">lan account is invested you can review the </w:t>
      </w:r>
      <w:r>
        <w:rPr>
          <w:sz w:val="20"/>
        </w:rPr>
        <w:t>plan's summary plan description</w:t>
      </w:r>
      <w:r w:rsidRPr="00940099">
        <w:rPr>
          <w:sz w:val="20"/>
        </w:rPr>
        <w:t xml:space="preserve">.  Also, you can contact the </w:t>
      </w:r>
      <w:r>
        <w:rPr>
          <w:sz w:val="20"/>
        </w:rPr>
        <w:t>p</w:t>
      </w:r>
      <w:r w:rsidRPr="00940099">
        <w:rPr>
          <w:sz w:val="20"/>
        </w:rPr>
        <w:t xml:space="preserve">lan </w:t>
      </w:r>
      <w:r>
        <w:rPr>
          <w:sz w:val="20"/>
        </w:rPr>
        <w:t>a</w:t>
      </w:r>
      <w:r w:rsidRPr="00940099">
        <w:rPr>
          <w:sz w:val="20"/>
        </w:rPr>
        <w:t>dministrator using the contact information at the end of this notice.</w:t>
      </w:r>
    </w:p>
    <w:p w:rsidR="00370D18" w:rsidRDefault="00370D18">
      <w:pPr>
        <w:jc w:val="both"/>
        <w:rPr>
          <w:sz w:val="20"/>
        </w:rPr>
      </w:pPr>
    </w:p>
    <w:p w:rsidR="00370D18" w:rsidRPr="00A17802" w:rsidRDefault="00370D18" w:rsidP="00370D18">
      <w:pPr>
        <w:keepNext/>
        <w:jc w:val="both"/>
        <w:rPr>
          <w:b/>
          <w:i/>
          <w:sz w:val="20"/>
        </w:rPr>
      </w:pPr>
      <w:r w:rsidRPr="00A17802">
        <w:rPr>
          <w:b/>
          <w:i/>
          <w:sz w:val="20"/>
        </w:rPr>
        <w:t>Vesting and Distribution</w:t>
      </w:r>
    </w:p>
    <w:p w:rsidR="00370D18" w:rsidRDefault="00370D18">
      <w:pPr>
        <w:jc w:val="both"/>
        <w:rPr>
          <w:sz w:val="20"/>
        </w:rPr>
      </w:pPr>
    </w:p>
    <w:p w:rsidR="00370D18" w:rsidRDefault="00370D18">
      <w:pPr>
        <w:jc w:val="both"/>
        <w:rPr>
          <w:sz w:val="20"/>
        </w:rPr>
      </w:pPr>
      <w:r>
        <w:rPr>
          <w:sz w:val="20"/>
        </w:rPr>
        <w:t xml:space="preserve">All contributions, including 401(k) deferral contributions  and 401(k) safe harbor contributions, are always 100% vested.  This means that your deferrals and contributions can not be lost if you leave employment with us.  However, the value of your deferrals and contributions is not guaranteed and they could experience market losses.  </w:t>
      </w:r>
    </w:p>
    <w:p w:rsidR="00370D18" w:rsidRDefault="00370D18">
      <w:pPr>
        <w:jc w:val="both"/>
        <w:rPr>
          <w:sz w:val="20"/>
        </w:rPr>
      </w:pPr>
    </w:p>
    <w:p w:rsidR="00370D18" w:rsidRDefault="00370D18">
      <w:pPr>
        <w:jc w:val="both"/>
        <w:rPr>
          <w:sz w:val="20"/>
        </w:rPr>
      </w:pPr>
      <w:r>
        <w:rPr>
          <w:b/>
          <w:i/>
          <w:sz w:val="20"/>
        </w:rPr>
        <w:t>Withdrawal of Contributions From the Plan</w:t>
      </w:r>
    </w:p>
    <w:p w:rsidR="00370D18" w:rsidRDefault="00370D18">
      <w:pPr>
        <w:jc w:val="both"/>
        <w:rPr>
          <w:sz w:val="20"/>
        </w:rPr>
      </w:pPr>
    </w:p>
    <w:p w:rsidR="00370D18" w:rsidRDefault="00370D18" w:rsidP="00370D18">
      <w:pPr>
        <w:jc w:val="both"/>
        <w:rPr>
          <w:sz w:val="20"/>
        </w:rPr>
      </w:pPr>
      <w:r>
        <w:rPr>
          <w:sz w:val="20"/>
        </w:rPr>
        <w:t xml:space="preserve">You generally may not withdraw your 401(k) deferral contributions and our 401(k) safe harbor contributions except upon your termination of employment, death, disability, </w:t>
      </w:r>
      <w:r w:rsidRPr="00A17E2C">
        <w:rPr>
          <w:sz w:val="20"/>
        </w:rPr>
        <w:t>o</w:t>
      </w:r>
      <w:r>
        <w:rPr>
          <w:sz w:val="20"/>
        </w:rPr>
        <w:t>r attainment of retirement age   You may also withdraw your 401(k) deferral contributions in the case of a hardship (but not from your investment earnings) if you meet the requirements for a financial hardship.  See your summary plan description for the definition of hardship.</w:t>
      </w:r>
    </w:p>
    <w:p w:rsidR="00370D18" w:rsidRDefault="00370D18" w:rsidP="00370D18">
      <w:pPr>
        <w:jc w:val="both"/>
        <w:rPr>
          <w:sz w:val="20"/>
        </w:rPr>
      </w:pPr>
    </w:p>
    <w:p w:rsidR="00370D18" w:rsidRDefault="00370D18" w:rsidP="00370D18">
      <w:pPr>
        <w:jc w:val="both"/>
        <w:rPr>
          <w:sz w:val="20"/>
        </w:rPr>
      </w:pPr>
      <w:r>
        <w:rPr>
          <w:sz w:val="20"/>
        </w:rPr>
        <w:t>Plan loans are also available from your 401(k) deferral contributions.  See your summary plan description and our loan program for the rules governing loans.</w:t>
      </w:r>
    </w:p>
    <w:p w:rsidR="00370D18" w:rsidRDefault="00370D18">
      <w:pPr>
        <w:pStyle w:val="Heading1"/>
        <w:rPr>
          <w:rFonts w:ascii="Times New Roman" w:hAnsi="Times New Roman"/>
          <w:sz w:val="20"/>
        </w:rPr>
      </w:pPr>
    </w:p>
    <w:p w:rsidR="00370D18" w:rsidRDefault="00370D18">
      <w:pPr>
        <w:pStyle w:val="Heading1"/>
        <w:rPr>
          <w:rFonts w:ascii="Times New Roman" w:hAnsi="Times New Roman"/>
          <w:sz w:val="20"/>
        </w:rPr>
      </w:pPr>
      <w:r>
        <w:rPr>
          <w:rFonts w:ascii="Times New Roman" w:hAnsi="Times New Roman"/>
          <w:sz w:val="20"/>
        </w:rPr>
        <w:t>For Further Information</w:t>
      </w:r>
    </w:p>
    <w:p w:rsidR="00370D18" w:rsidRDefault="00370D18">
      <w:pPr>
        <w:rPr>
          <w:sz w:val="20"/>
        </w:rPr>
      </w:pPr>
    </w:p>
    <w:p w:rsidR="00370D18" w:rsidRDefault="00370D18" w:rsidP="00370D18">
      <w:pPr>
        <w:jc w:val="both"/>
        <w:rPr>
          <w:sz w:val="20"/>
        </w:rPr>
      </w:pPr>
      <w:r>
        <w:rPr>
          <w:sz w:val="20"/>
        </w:rPr>
        <w:t xml:space="preserve">Please refer to the summary plan description for a complete explanation of the plan features.  In the event of any discrepancy between this notice and the plan document or summary plan description, the plan document and summary plan description will govern.  Please ask your HR representative if you have any question regarding your rights or obligations under the plan or if you would like to obtain an additional copy of the summary plan description. You may also contact our third party administrator for additional information at: </w:t>
      </w:r>
    </w:p>
    <w:p w:rsidR="00370D18" w:rsidRDefault="00370D18">
      <w:pPr>
        <w:rPr>
          <w:sz w:val="20"/>
        </w:rPr>
      </w:pPr>
    </w:p>
    <w:p w:rsidR="00370D18" w:rsidRDefault="00370D18">
      <w:pPr>
        <w:jc w:val="center"/>
        <w:rPr>
          <w:noProof/>
        </w:rPr>
      </w:pPr>
      <w:r>
        <w:rPr>
          <w:sz w:val="20"/>
        </w:rPr>
        <w:t>TIAA-CREF</w:t>
      </w:r>
      <w:r w:rsidRPr="00C2556B">
        <w:rPr>
          <w:noProof/>
        </w:rPr>
        <w:t xml:space="preserve"> </w:t>
      </w:r>
    </w:p>
    <w:p w:rsidR="00370D18" w:rsidRPr="00C2556B" w:rsidRDefault="00370D18">
      <w:pPr>
        <w:jc w:val="center"/>
        <w:rPr>
          <w:noProof/>
          <w:sz w:val="20"/>
        </w:rPr>
      </w:pPr>
      <w:r w:rsidRPr="00C2556B">
        <w:rPr>
          <w:noProof/>
          <w:sz w:val="20"/>
        </w:rPr>
        <w:t>730 Third Avenue</w:t>
      </w:r>
    </w:p>
    <w:p w:rsidR="00370D18" w:rsidRPr="00C2556B" w:rsidRDefault="00370D18">
      <w:pPr>
        <w:jc w:val="center"/>
        <w:rPr>
          <w:noProof/>
          <w:sz w:val="20"/>
        </w:rPr>
      </w:pPr>
      <w:r w:rsidRPr="00C2556B">
        <w:rPr>
          <w:noProof/>
          <w:sz w:val="20"/>
        </w:rPr>
        <w:t>New York, New York 10017</w:t>
      </w:r>
    </w:p>
    <w:p w:rsidR="00370D18" w:rsidRPr="00C2556B" w:rsidRDefault="00370D18">
      <w:pPr>
        <w:jc w:val="center"/>
        <w:rPr>
          <w:noProof/>
          <w:sz w:val="20"/>
        </w:rPr>
      </w:pPr>
      <w:r w:rsidRPr="00C2556B">
        <w:rPr>
          <w:noProof/>
          <w:sz w:val="20"/>
        </w:rPr>
        <w:t>1-800-842-2252</w:t>
      </w:r>
    </w:p>
    <w:p w:rsidR="00370D18" w:rsidRPr="007E4164" w:rsidRDefault="00370D18">
      <w:pPr>
        <w:jc w:val="center"/>
        <w:rPr>
          <w:color w:val="000000"/>
          <w:sz w:val="20"/>
          <w:u w:val="single"/>
        </w:rPr>
      </w:pPr>
      <w:r w:rsidRPr="007E4164">
        <w:rPr>
          <w:noProof/>
          <w:color w:val="000000"/>
          <w:sz w:val="20"/>
          <w:u w:val="single"/>
        </w:rPr>
        <w:t>www.tiaa-cref.org.</w:t>
      </w:r>
    </w:p>
    <w:p w:rsidR="00370D18" w:rsidRDefault="00370D18">
      <w:pPr>
        <w:jc w:val="center"/>
        <w:rPr>
          <w:sz w:val="20"/>
        </w:rPr>
      </w:pPr>
    </w:p>
    <w:p w:rsidR="00370D18" w:rsidRDefault="00370D18">
      <w:pPr>
        <w:jc w:val="center"/>
        <w:rPr>
          <w:sz w:val="20"/>
        </w:rPr>
      </w:pPr>
    </w:p>
    <w:p w:rsidR="00370D18" w:rsidRDefault="00370D18">
      <w:pPr>
        <w:jc w:val="center"/>
        <w:rPr>
          <w:sz w:val="20"/>
        </w:rPr>
      </w:pPr>
    </w:p>
    <w:sectPr w:rsidR="00370D18">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E61" w:rsidRDefault="003D6E61">
      <w:r>
        <w:separator/>
      </w:r>
    </w:p>
  </w:endnote>
  <w:endnote w:type="continuationSeparator" w:id="0">
    <w:p w:rsidR="003D6E61" w:rsidRDefault="003D6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8" w:rsidRDefault="00370D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8" w:rsidRPr="00FA0A5F" w:rsidRDefault="00370D18" w:rsidP="00370D18">
    <w:pPr>
      <w:pStyle w:val="Footer"/>
      <w:tabs>
        <w:tab w:val="clear" w:pos="4320"/>
        <w:tab w:val="center" w:pos="4500"/>
      </w:tabs>
      <w:rPr>
        <w:sz w:val="20"/>
      </w:rPr>
    </w:pPr>
    <w:r>
      <w:tab/>
    </w:r>
    <w:r w:rsidRPr="00FA0A5F">
      <w:rPr>
        <w:sz w:val="20"/>
      </w:rPr>
      <w:t>Page</w:t>
    </w:r>
    <w:r>
      <w:rPr>
        <w:sz w:val="20"/>
      </w:rPr>
      <w:t xml:space="preserve"> </w:t>
    </w:r>
    <w:r w:rsidRPr="00FA0A5F">
      <w:rPr>
        <w:sz w:val="20"/>
      </w:rPr>
      <w:t xml:space="preserve"> </w:t>
    </w:r>
    <w:r w:rsidRPr="00FA0A5F">
      <w:rPr>
        <w:rStyle w:val="PageNumber"/>
        <w:sz w:val="20"/>
      </w:rPr>
      <w:fldChar w:fldCharType="begin"/>
    </w:r>
    <w:r w:rsidRPr="00FA0A5F">
      <w:rPr>
        <w:rStyle w:val="PageNumber"/>
        <w:sz w:val="20"/>
      </w:rPr>
      <w:instrText xml:space="preserve"> PAGE </w:instrText>
    </w:r>
    <w:r w:rsidRPr="00FA0A5F">
      <w:rPr>
        <w:rStyle w:val="PageNumber"/>
        <w:sz w:val="20"/>
      </w:rPr>
      <w:fldChar w:fldCharType="separate"/>
    </w:r>
    <w:r w:rsidR="00F62F55">
      <w:rPr>
        <w:rStyle w:val="PageNumber"/>
        <w:noProof/>
        <w:sz w:val="20"/>
      </w:rPr>
      <w:t>1</w:t>
    </w:r>
    <w:r w:rsidRPr="00FA0A5F">
      <w:rPr>
        <w:rStyle w:val="PageNumber"/>
        <w:sz w:val="20"/>
      </w:rPr>
      <w:fldChar w:fldCharType="end"/>
    </w:r>
    <w:r w:rsidRPr="00FA0A5F">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8" w:rsidRDefault="00370D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E61" w:rsidRDefault="003D6E61">
      <w:r>
        <w:separator/>
      </w:r>
    </w:p>
  </w:footnote>
  <w:footnote w:type="continuationSeparator" w:id="0">
    <w:p w:rsidR="003D6E61" w:rsidRDefault="003D6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8" w:rsidRDefault="00370D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8" w:rsidRDefault="00370D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18" w:rsidRDefault="00370D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3A8F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93826DE4"/>
    <w:lvl w:ilvl="0">
      <w:numFmt w:val="bullet"/>
      <w:lvlText w:val="*"/>
      <w:lvlJc w:val="left"/>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AE7"/>
    <w:rsid w:val="000E5797"/>
    <w:rsid w:val="000F4CBF"/>
    <w:rsid w:val="00185425"/>
    <w:rsid w:val="00202A46"/>
    <w:rsid w:val="00256BB4"/>
    <w:rsid w:val="00370D18"/>
    <w:rsid w:val="003D6E61"/>
    <w:rsid w:val="005F41FE"/>
    <w:rsid w:val="0063128C"/>
    <w:rsid w:val="006A0E2A"/>
    <w:rsid w:val="006E2400"/>
    <w:rsid w:val="00B129E3"/>
    <w:rsid w:val="00CB07B2"/>
    <w:rsid w:val="00F62F55"/>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i/>
      <w:sz w:val="22"/>
    </w:rPr>
  </w:style>
  <w:style w:type="paragraph" w:styleId="Heading2">
    <w:name w:val="heading 2"/>
    <w:basedOn w:val="Normal"/>
    <w:next w:val="Normal"/>
    <w:qFormat/>
    <w:pPr>
      <w:keepNext/>
      <w:jc w:val="right"/>
      <w:outlineLvl w:val="1"/>
    </w:pPr>
    <w:rPr>
      <w:b/>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b/>
      <w:sz w:val="14"/>
    </w:rPr>
  </w:style>
  <w:style w:type="character" w:styleId="Hyperlink">
    <w:name w:val="Hyperlink"/>
    <w:basedOn w:val="DefaultParagraphFont"/>
    <w:rPr>
      <w:color w:val="0000FF"/>
      <w:u w:val="single"/>
    </w:rPr>
  </w:style>
  <w:style w:type="paragraph" w:styleId="BodyText">
    <w:name w:val="Body Text"/>
    <w:basedOn w:val="Normal"/>
    <w:pPr>
      <w:jc w:val="both"/>
    </w:pPr>
    <w:rPr>
      <w:sz w:val="20"/>
    </w:rPr>
  </w:style>
  <w:style w:type="paragraph" w:styleId="Header">
    <w:name w:val="header"/>
    <w:basedOn w:val="Normal"/>
    <w:pPr>
      <w:tabs>
        <w:tab w:val="center" w:pos="4320"/>
        <w:tab w:val="right" w:pos="8640"/>
      </w:tabs>
    </w:pPr>
  </w:style>
  <w:style w:type="character" w:customStyle="1" w:styleId="zzmpTrailerItem">
    <w:name w:val="zzmpTrailerItem"/>
    <w:basedOn w:val="DefaultParagraphFont"/>
    <w:rsid w:val="00183E74"/>
    <w:rPr>
      <w:rFonts w:ascii="Times New Roman" w:hAnsi="Times New Roman" w:cs="Times New Roman"/>
      <w:dstrike w:val="0"/>
      <w:noProof/>
      <w:color w:val="auto"/>
      <w:spacing w:val="0"/>
      <w:position w:val="0"/>
      <w:sz w:val="16"/>
      <w:szCs w:val="16"/>
      <w:u w:val="none"/>
      <w:effect w:val="none"/>
      <w:vertAlign w:val="baseline"/>
    </w:rPr>
  </w:style>
  <w:style w:type="paragraph" w:styleId="ListBullet">
    <w:name w:val="List Bullet"/>
    <w:basedOn w:val="Normal"/>
    <w:rsid w:val="00FC3BE3"/>
    <w:pPr>
      <w:numPr>
        <w:numId w:val="2"/>
      </w:numPr>
    </w:pPr>
  </w:style>
  <w:style w:type="table" w:styleId="TableGrid">
    <w:name w:val="Table Grid"/>
    <w:basedOn w:val="TableNormal"/>
    <w:rsid w:val="00F1025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BE26AD"/>
    <w:rPr>
      <w:sz w:val="16"/>
      <w:szCs w:val="16"/>
    </w:rPr>
  </w:style>
  <w:style w:type="paragraph" w:styleId="CommentText">
    <w:name w:val="annotation text"/>
    <w:basedOn w:val="Normal"/>
    <w:link w:val="CommentTextChar"/>
    <w:rsid w:val="00BE26AD"/>
    <w:rPr>
      <w:sz w:val="20"/>
    </w:rPr>
  </w:style>
  <w:style w:type="character" w:customStyle="1" w:styleId="CommentTextChar">
    <w:name w:val="Comment Text Char"/>
    <w:basedOn w:val="DefaultParagraphFont"/>
    <w:link w:val="CommentText"/>
    <w:rsid w:val="00BE26AD"/>
  </w:style>
  <w:style w:type="paragraph" w:styleId="CommentSubject">
    <w:name w:val="annotation subject"/>
    <w:basedOn w:val="CommentText"/>
    <w:next w:val="CommentText"/>
    <w:link w:val="CommentSubjectChar"/>
    <w:rsid w:val="00BE26AD"/>
    <w:rPr>
      <w:b/>
      <w:bCs/>
    </w:rPr>
  </w:style>
  <w:style w:type="character" w:customStyle="1" w:styleId="CommentSubjectChar">
    <w:name w:val="Comment Subject Char"/>
    <w:basedOn w:val="CommentTextChar"/>
    <w:link w:val="CommentSubject"/>
    <w:rsid w:val="00BE26AD"/>
    <w:rPr>
      <w:b/>
      <w:bCs/>
    </w:rPr>
  </w:style>
  <w:style w:type="paragraph" w:styleId="BalloonText">
    <w:name w:val="Balloon Text"/>
    <w:basedOn w:val="Normal"/>
    <w:link w:val="BalloonTextChar"/>
    <w:rsid w:val="00BE26AD"/>
    <w:rPr>
      <w:rFonts w:ascii="Tahoma" w:hAnsi="Tahoma" w:cs="Tahoma"/>
      <w:sz w:val="16"/>
      <w:szCs w:val="16"/>
    </w:rPr>
  </w:style>
  <w:style w:type="character" w:customStyle="1" w:styleId="BalloonTextChar">
    <w:name w:val="Balloon Text Char"/>
    <w:basedOn w:val="DefaultParagraphFont"/>
    <w:link w:val="BalloonText"/>
    <w:rsid w:val="00BE2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aa-cref.org/prospectuses/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aa-cref/org/performance/retirement/index.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iaa-cref.org/prospectuses/index.html" TargetMode="External"/><Relationship Id="rId4" Type="http://schemas.openxmlformats.org/officeDocument/2006/relationships/webSettings" Target="webSettings.xml"/><Relationship Id="rId9" Type="http://schemas.openxmlformats.org/officeDocument/2006/relationships/hyperlink" Target="http://www.tiaa-cref.org/prospectuse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Jefferson Science Associates, LLC</Company>
  <LinksUpToDate>false</LinksUpToDate>
  <CharactersWithSpaces>11056</CharactersWithSpaces>
  <SharedDoc>false</SharedDoc>
  <HLinks>
    <vt:vector size="24" baseType="variant">
      <vt:variant>
        <vt:i4>65613</vt:i4>
      </vt:variant>
      <vt:variant>
        <vt:i4>9</vt:i4>
      </vt:variant>
      <vt:variant>
        <vt:i4>0</vt:i4>
      </vt:variant>
      <vt:variant>
        <vt:i4>5</vt:i4>
      </vt:variant>
      <vt:variant>
        <vt:lpwstr>http://www.tiaa-cref.org/prospectuses/index.html</vt:lpwstr>
      </vt:variant>
      <vt:variant>
        <vt:lpwstr/>
      </vt:variant>
      <vt:variant>
        <vt:i4>65613</vt:i4>
      </vt:variant>
      <vt:variant>
        <vt:i4>6</vt:i4>
      </vt:variant>
      <vt:variant>
        <vt:i4>0</vt:i4>
      </vt:variant>
      <vt:variant>
        <vt:i4>5</vt:i4>
      </vt:variant>
      <vt:variant>
        <vt:lpwstr>http://www.tiaa-cref.org/prospectuses/index.html</vt:lpwstr>
      </vt:variant>
      <vt:variant>
        <vt:lpwstr/>
      </vt:variant>
      <vt:variant>
        <vt:i4>65613</vt:i4>
      </vt:variant>
      <vt:variant>
        <vt:i4>3</vt:i4>
      </vt:variant>
      <vt:variant>
        <vt:i4>0</vt:i4>
      </vt:variant>
      <vt:variant>
        <vt:i4>5</vt:i4>
      </vt:variant>
      <vt:variant>
        <vt:lpwstr>http://www.tiaa-cref.org/prospectuses/index.html</vt:lpwstr>
      </vt:variant>
      <vt:variant>
        <vt:lpwstr/>
      </vt:variant>
      <vt:variant>
        <vt:i4>6357112</vt:i4>
      </vt:variant>
      <vt:variant>
        <vt:i4>0</vt:i4>
      </vt:variant>
      <vt:variant>
        <vt:i4>0</vt:i4>
      </vt:variant>
      <vt:variant>
        <vt:i4>5</vt:i4>
      </vt:variant>
      <vt:variant>
        <vt:lpwstr>http://www.tiaa-cref/org/performance/retirement/index.html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Treva  Ferguson</dc:creator>
  <cp:keywords> </cp:keywords>
  <cp:lastModifiedBy>Joshua Cameron</cp:lastModifiedBy>
  <cp:revision>2</cp:revision>
  <dcterms:created xsi:type="dcterms:W3CDTF">2009-12-14T16:11:00Z</dcterms:created>
  <dcterms:modified xsi:type="dcterms:W3CDTF">2009-12-14T16:11:00Z</dcterms:modified>
</cp:coreProperties>
</file>