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00430" w14:textId="77777777" w:rsidR="00717789" w:rsidRPr="009D3440" w:rsidRDefault="00717789" w:rsidP="00717789">
      <w:pPr>
        <w:jc w:val="center"/>
        <w:rPr>
          <w:b/>
        </w:rPr>
      </w:pPr>
      <w:r>
        <w:rPr>
          <w:b/>
        </w:rPr>
        <w:t>Charge to the Committee</w:t>
      </w:r>
    </w:p>
    <w:p w14:paraId="6AFD8D96" w14:textId="77777777" w:rsidR="00717789" w:rsidRDefault="00717789" w:rsidP="00717789"/>
    <w:p w14:paraId="7017B9BD" w14:textId="77777777" w:rsidR="00792C34" w:rsidRPr="00821D92" w:rsidRDefault="00792C34" w:rsidP="00821D92">
      <w:pPr>
        <w:widowControl w:val="0"/>
        <w:autoSpaceDE w:val="0"/>
        <w:autoSpaceDN w:val="0"/>
        <w:adjustRightInd w:val="0"/>
        <w:spacing w:after="120"/>
        <w:rPr>
          <w:rFonts w:cs="Tahoma"/>
        </w:rPr>
      </w:pPr>
      <w:r w:rsidRPr="00821D92">
        <w:rPr>
          <w:rFonts w:cs="Tahoma"/>
        </w:rPr>
        <w:t xml:space="preserve">A recent assessment made clear that, at least in the near term, the average demand from Hall B for computing is greater than the projected requests. This demand is also greater than the available resources and would imply expanding computing for Jefferson Lab. </w:t>
      </w:r>
    </w:p>
    <w:p w14:paraId="4CCAEC00" w14:textId="4A6EE432" w:rsidR="00D12E3F" w:rsidRPr="00821D92" w:rsidRDefault="00792C34" w:rsidP="00821D92">
      <w:pPr>
        <w:widowControl w:val="0"/>
        <w:autoSpaceDE w:val="0"/>
        <w:autoSpaceDN w:val="0"/>
        <w:adjustRightInd w:val="0"/>
        <w:spacing w:after="120"/>
        <w:rPr>
          <w:rFonts w:cs="Tahoma"/>
        </w:rPr>
      </w:pPr>
      <w:r w:rsidRPr="00821D92">
        <w:rPr>
          <w:rFonts w:cs="Tahoma"/>
        </w:rPr>
        <w:t>The reasons for the increase of the data acquisition rate ha</w:t>
      </w:r>
      <w:r w:rsidR="00D12E3F" w:rsidRPr="00821D92">
        <w:rPr>
          <w:rFonts w:cs="Tahoma"/>
        </w:rPr>
        <w:t>ve</w:t>
      </w:r>
      <w:r w:rsidRPr="00821D92">
        <w:rPr>
          <w:rFonts w:cs="Tahoma"/>
        </w:rPr>
        <w:t xml:space="preserve"> to be understood</w:t>
      </w:r>
      <w:r w:rsidR="00D12E3F" w:rsidRPr="00821D92">
        <w:rPr>
          <w:rFonts w:cs="Tahoma"/>
        </w:rPr>
        <w:t>, as it would imply a</w:t>
      </w:r>
      <w:r w:rsidRPr="00821D92">
        <w:rPr>
          <w:rFonts w:cs="Tahoma"/>
        </w:rPr>
        <w:t xml:space="preserve"> </w:t>
      </w:r>
      <w:r w:rsidR="00D12E3F" w:rsidRPr="00821D92">
        <w:rPr>
          <w:rFonts w:cs="Tahoma"/>
        </w:rPr>
        <w:t xml:space="preserve">large annual </w:t>
      </w:r>
      <w:r w:rsidRPr="00821D92">
        <w:rPr>
          <w:rFonts w:cs="Tahoma"/>
        </w:rPr>
        <w:t>computing investment, but also may put at risk the capability to analyze the huge volume of data collected</w:t>
      </w:r>
      <w:r w:rsidR="00D12E3F" w:rsidRPr="00821D92">
        <w:rPr>
          <w:rFonts w:cs="Tahoma"/>
        </w:rPr>
        <w:t xml:space="preserve"> towards expedient science publication.</w:t>
      </w:r>
    </w:p>
    <w:p w14:paraId="28587D9F" w14:textId="443CC2CA" w:rsidR="00792C34" w:rsidRPr="00821D92" w:rsidRDefault="00211A32" w:rsidP="00821D92">
      <w:pPr>
        <w:widowControl w:val="0"/>
        <w:autoSpaceDE w:val="0"/>
        <w:autoSpaceDN w:val="0"/>
        <w:adjustRightInd w:val="0"/>
        <w:spacing w:after="120"/>
        <w:rPr>
          <w:rFonts w:cs="Tahoma"/>
          <w:kern w:val="1"/>
        </w:rPr>
      </w:pPr>
      <w:r>
        <w:rPr>
          <w:rFonts w:cs="Tahoma"/>
        </w:rPr>
        <w:t>A</w:t>
      </w:r>
      <w:r w:rsidR="00792C34" w:rsidRPr="00821D92">
        <w:rPr>
          <w:rFonts w:cs="Tahoma"/>
        </w:rPr>
        <w:t>n internal software review has been set up to evaluate the Hall B computing projection and actual software architecture and performance</w:t>
      </w:r>
      <w:r>
        <w:rPr>
          <w:rFonts w:cs="Tahoma"/>
        </w:rPr>
        <w:t>, and to evaluate the organization in place to realize physics results</w:t>
      </w:r>
      <w:r w:rsidR="00792C34" w:rsidRPr="00821D92">
        <w:rPr>
          <w:rFonts w:cs="Tahoma"/>
        </w:rPr>
        <w:t xml:space="preserve">. The committee </w:t>
      </w:r>
      <w:r w:rsidR="00792C34" w:rsidRPr="00821D92">
        <w:rPr>
          <w:rFonts w:cs="Tahoma"/>
          <w:kern w:val="1"/>
        </w:rPr>
        <w:t>is asked to review and assess the status of Hall B software and computing with particular emphasis upon:</w:t>
      </w:r>
    </w:p>
    <w:p w14:paraId="65D7FC73" w14:textId="77777777" w:rsidR="00792C34" w:rsidRPr="00821D92" w:rsidRDefault="00792C34" w:rsidP="00821D92">
      <w:pPr>
        <w:widowControl w:val="0"/>
        <w:autoSpaceDE w:val="0"/>
        <w:autoSpaceDN w:val="0"/>
        <w:adjustRightInd w:val="0"/>
        <w:spacing w:after="120"/>
        <w:rPr>
          <w:rFonts w:cs="Tahoma"/>
          <w:kern w:val="1"/>
        </w:rPr>
      </w:pPr>
      <w:r w:rsidRPr="00821D92">
        <w:rPr>
          <w:rFonts w:cs="Tahoma"/>
          <w:kern w:val="1"/>
        </w:rPr>
        <w:t>a) the CLAS12 computing architecture;</w:t>
      </w:r>
    </w:p>
    <w:p w14:paraId="0E184492" w14:textId="1419AF06" w:rsidR="009E6ADE" w:rsidRDefault="00792C34" w:rsidP="00821D92">
      <w:pPr>
        <w:widowControl w:val="0"/>
        <w:autoSpaceDE w:val="0"/>
        <w:autoSpaceDN w:val="0"/>
        <w:adjustRightInd w:val="0"/>
        <w:spacing w:after="120"/>
        <w:rPr>
          <w:rFonts w:cs="Tahoma"/>
          <w:kern w:val="1"/>
        </w:rPr>
      </w:pPr>
      <w:r w:rsidRPr="00821D92">
        <w:rPr>
          <w:rFonts w:cs="Tahoma"/>
          <w:kern w:val="1"/>
        </w:rPr>
        <w:t>b) the requirements for computing and the operational readiness of CLAS12</w:t>
      </w:r>
    </w:p>
    <w:p w14:paraId="50683BEF" w14:textId="3F64EBDB" w:rsidR="009E6ADE" w:rsidRPr="00821D92" w:rsidRDefault="009E6ADE" w:rsidP="00821D92">
      <w:pPr>
        <w:widowControl w:val="0"/>
        <w:autoSpaceDE w:val="0"/>
        <w:autoSpaceDN w:val="0"/>
        <w:adjustRightInd w:val="0"/>
        <w:spacing w:after="120"/>
        <w:rPr>
          <w:rFonts w:cs="Tahoma"/>
          <w:kern w:val="1"/>
        </w:rPr>
      </w:pPr>
      <w:r>
        <w:rPr>
          <w:rFonts w:cs="Tahoma"/>
          <w:kern w:val="1"/>
        </w:rPr>
        <w:t>c) the requirements for expedient physics analysis and publication;</w:t>
      </w:r>
    </w:p>
    <w:p w14:paraId="5E15A1F2" w14:textId="385C441C" w:rsidR="00792C34" w:rsidRPr="00821D92" w:rsidRDefault="009E6ADE" w:rsidP="00821D92">
      <w:pPr>
        <w:widowControl w:val="0"/>
        <w:autoSpaceDE w:val="0"/>
        <w:autoSpaceDN w:val="0"/>
        <w:adjustRightInd w:val="0"/>
        <w:spacing w:after="120"/>
        <w:rPr>
          <w:rFonts w:cs="Tahoma"/>
          <w:kern w:val="1"/>
        </w:rPr>
      </w:pPr>
      <w:r>
        <w:rPr>
          <w:rFonts w:cs="Tahoma"/>
          <w:kern w:val="1"/>
        </w:rPr>
        <w:t>d</w:t>
      </w:r>
      <w:r w:rsidR="00792C34" w:rsidRPr="00821D92">
        <w:rPr>
          <w:rFonts w:cs="Tahoma"/>
          <w:kern w:val="1"/>
        </w:rPr>
        <w:t>) the state of the CLAS12 Software and Computing Organization, including  roles and</w:t>
      </w:r>
      <w:r w:rsidR="00D12E3F">
        <w:rPr>
          <w:rFonts w:cs="Tahoma"/>
          <w:kern w:val="1"/>
        </w:rPr>
        <w:t xml:space="preserve"> </w:t>
      </w:r>
      <w:r w:rsidR="00792C34" w:rsidRPr="00821D92">
        <w:rPr>
          <w:rFonts w:cs="Tahoma"/>
          <w:kern w:val="1"/>
        </w:rPr>
        <w:t>responsibilities and connections to external groups</w:t>
      </w:r>
    </w:p>
    <w:p w14:paraId="1C2D9FEA" w14:textId="561C5B41" w:rsidR="00095337" w:rsidRPr="00211A32" w:rsidRDefault="00792C34" w:rsidP="00211A32">
      <w:pPr>
        <w:widowControl w:val="0"/>
        <w:tabs>
          <w:tab w:val="left" w:pos="566"/>
        </w:tabs>
        <w:autoSpaceDE w:val="0"/>
        <w:autoSpaceDN w:val="0"/>
        <w:adjustRightInd w:val="0"/>
        <w:spacing w:before="160" w:after="120"/>
        <w:rPr>
          <w:rFonts w:cs="Tahoma"/>
          <w:kern w:val="1"/>
        </w:rPr>
      </w:pPr>
      <w:r w:rsidRPr="00821D92">
        <w:rPr>
          <w:rFonts w:cs="Tahoma"/>
          <w:kern w:val="1"/>
        </w:rPr>
        <w:t>In particular, the committee is asked to address the following questions:</w:t>
      </w:r>
    </w:p>
    <w:p w14:paraId="1D5CA78E" w14:textId="77777777" w:rsidR="00095337" w:rsidRDefault="00095337" w:rsidP="00717789"/>
    <w:p w14:paraId="0694BA5F" w14:textId="77777777" w:rsidR="009B074E" w:rsidRPr="00E96BA6" w:rsidRDefault="00095337" w:rsidP="00717789">
      <w:pPr>
        <w:pStyle w:val="ListParagraph"/>
        <w:numPr>
          <w:ilvl w:val="0"/>
          <w:numId w:val="1"/>
        </w:numPr>
        <w:spacing w:before="160"/>
        <w:contextualSpacing w:val="0"/>
        <w:rPr>
          <w:color w:val="000000" w:themeColor="text1"/>
        </w:rPr>
      </w:pPr>
      <w:r w:rsidRPr="00E96BA6">
        <w:rPr>
          <w:color w:val="000000" w:themeColor="text1"/>
        </w:rPr>
        <w:t xml:space="preserve">Evaluate the CLAS12 </w:t>
      </w:r>
      <w:r w:rsidR="009B074E" w:rsidRPr="00E96BA6">
        <w:rPr>
          <w:color w:val="000000" w:themeColor="text1"/>
        </w:rPr>
        <w:t>compu</w:t>
      </w:r>
      <w:r w:rsidRPr="00E96BA6">
        <w:rPr>
          <w:color w:val="000000" w:themeColor="text1"/>
        </w:rPr>
        <w:t xml:space="preserve">ting architecture.  </w:t>
      </w:r>
    </w:p>
    <w:p w14:paraId="12BE8271" w14:textId="39A63887" w:rsidR="009B074E" w:rsidRPr="006110FA" w:rsidRDefault="009B074E" w:rsidP="009B074E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 xml:space="preserve"> Assess the offline computing plan, including descriptions of the workflows and processes for calibration, reconstruction, simulation and analysis. </w:t>
      </w:r>
      <w:r w:rsidR="00B7668C">
        <w:rPr>
          <w:color w:val="000000" w:themeColor="text1"/>
        </w:rPr>
        <w:t xml:space="preserve"> </w:t>
      </w:r>
    </w:p>
    <w:p w14:paraId="319ED7CF" w14:textId="3724F5E2" w:rsidR="009B074E" w:rsidRPr="006110FA" w:rsidRDefault="009B074E" w:rsidP="009B074E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 xml:space="preserve">Are the CLAS-12 computing requirements including simulation </w:t>
      </w:r>
      <w:r w:rsidR="00B13D0A" w:rsidRPr="006110FA">
        <w:rPr>
          <w:color w:val="000000" w:themeColor="text1"/>
        </w:rPr>
        <w:t xml:space="preserve">and the impact of backgrounds </w:t>
      </w:r>
      <w:r w:rsidRPr="006110FA">
        <w:rPr>
          <w:color w:val="000000" w:themeColor="text1"/>
        </w:rPr>
        <w:t>well understood and motivated by physics considerations?  Are the estimates stable?</w:t>
      </w:r>
      <w:r w:rsidR="00B7668C">
        <w:rPr>
          <w:color w:val="000000" w:themeColor="text1"/>
        </w:rPr>
        <w:t xml:space="preserve"> </w:t>
      </w:r>
    </w:p>
    <w:p w14:paraId="35C9E0DD" w14:textId="77777777" w:rsidR="000A55F4" w:rsidRPr="006110FA" w:rsidRDefault="000A55F4" w:rsidP="00211A32">
      <w:pPr>
        <w:pStyle w:val="ListParagraph"/>
        <w:numPr>
          <w:ilvl w:val="0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Evaluate the requirements for computing and the operational readiness of CLAS12.</w:t>
      </w:r>
    </w:p>
    <w:p w14:paraId="1CC44EC3" w14:textId="38D371D5" w:rsidR="000A55F4" w:rsidRPr="006110FA" w:rsidRDefault="000A55F4" w:rsidP="00211A32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 xml:space="preserve">What is the status of the DAQ system and online monitoring?  Are all operational requirements met by the current system? </w:t>
      </w:r>
      <w:r w:rsidR="009B074E" w:rsidRPr="006110FA">
        <w:rPr>
          <w:color w:val="000000" w:themeColor="text1"/>
        </w:rPr>
        <w:t xml:space="preserve"> Has CLAS 12 and Hall B identified </w:t>
      </w:r>
      <w:r w:rsidRPr="006110FA">
        <w:rPr>
          <w:color w:val="000000" w:themeColor="text1"/>
        </w:rPr>
        <w:t>gaps</w:t>
      </w:r>
      <w:r w:rsidR="009B074E" w:rsidRPr="006110FA">
        <w:rPr>
          <w:color w:val="000000" w:themeColor="text1"/>
        </w:rPr>
        <w:t xml:space="preserve"> and risks?  I</w:t>
      </w:r>
      <w:r w:rsidRPr="006110FA">
        <w:rPr>
          <w:color w:val="000000" w:themeColor="text1"/>
        </w:rPr>
        <w:t xml:space="preserve">f so, what are the plans to address them?  </w:t>
      </w:r>
    </w:p>
    <w:p w14:paraId="320E4577" w14:textId="236FA967" w:rsidR="000969B9" w:rsidRPr="006110FA" w:rsidRDefault="000969B9" w:rsidP="00211A32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Has all relevant hardware (including spares) been procured?</w:t>
      </w:r>
      <w:r w:rsidR="00B7668C">
        <w:rPr>
          <w:color w:val="000000" w:themeColor="text1"/>
        </w:rPr>
        <w:t xml:space="preserve"> </w:t>
      </w:r>
    </w:p>
    <w:p w14:paraId="0824DB79" w14:textId="7CFAD5CE" w:rsidR="00211A32" w:rsidRPr="006110FA" w:rsidRDefault="00211A32" w:rsidP="00211A32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Does the analyzer make good use of the multithread computing architecture, and how has this been validated?</w:t>
      </w:r>
      <w:r w:rsidR="00B7668C">
        <w:rPr>
          <w:color w:val="000000" w:themeColor="text1"/>
        </w:rPr>
        <w:t xml:space="preserve"> </w:t>
      </w:r>
    </w:p>
    <w:p w14:paraId="56A85E99" w14:textId="385610DD" w:rsidR="00DA5265" w:rsidRPr="006110FA" w:rsidRDefault="000A55F4" w:rsidP="00DA5265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 xml:space="preserve">What lessons have been learned from the spring 2018 run? From MC campaigns?  Are scale test planned in preparation for 20+ weeks of running? </w:t>
      </w:r>
      <w:r w:rsidR="009B074E" w:rsidRPr="006110FA">
        <w:rPr>
          <w:color w:val="000000" w:themeColor="text1"/>
        </w:rPr>
        <w:t xml:space="preserve"> What are the limiting factors</w:t>
      </w:r>
      <w:r w:rsidR="00095337" w:rsidRPr="006110FA">
        <w:rPr>
          <w:color w:val="000000" w:themeColor="text1"/>
        </w:rPr>
        <w:t xml:space="preserve"> for detector calibration?</w:t>
      </w:r>
      <w:r w:rsidR="00B7668C">
        <w:rPr>
          <w:color w:val="000000" w:themeColor="text1"/>
        </w:rPr>
        <w:t xml:space="preserve"> </w:t>
      </w:r>
    </w:p>
    <w:p w14:paraId="738BF7B2" w14:textId="1B1BD5E4" w:rsidR="00F40624" w:rsidRPr="006110FA" w:rsidRDefault="00F40624" w:rsidP="000969B9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 xml:space="preserve">Assess the plans for </w:t>
      </w:r>
      <w:r w:rsidR="00B13D0A" w:rsidRPr="006110FA">
        <w:rPr>
          <w:color w:val="000000" w:themeColor="text1"/>
        </w:rPr>
        <w:t xml:space="preserve">data quality tests and impact on data acquisition and computing </w:t>
      </w:r>
      <w:r w:rsidRPr="006110FA">
        <w:rPr>
          <w:color w:val="000000" w:themeColor="text1"/>
        </w:rPr>
        <w:t>at high luminosities.</w:t>
      </w:r>
    </w:p>
    <w:p w14:paraId="4EBE5649" w14:textId="77777777" w:rsidR="009E6ADE" w:rsidRPr="006110FA" w:rsidRDefault="009E6ADE" w:rsidP="00211A32">
      <w:pPr>
        <w:pStyle w:val="ListParagraph"/>
        <w:numPr>
          <w:ilvl w:val="0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lastRenderedPageBreak/>
        <w:t>Evaluate the CLAS12 Software and Computing towards readiness for extraction of physics from the data and expedient publication.</w:t>
      </w:r>
    </w:p>
    <w:p w14:paraId="770120EF" w14:textId="18954A8B" w:rsidR="009E6ADE" w:rsidRPr="006110FA" w:rsidRDefault="009E6ADE" w:rsidP="00211A32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Has the analysis chain been defined and what is the strategy for extracting physics from the data? How are the requirements of the</w:t>
      </w:r>
      <w:r w:rsidR="00E53C01" w:rsidRPr="006110FA">
        <w:rPr>
          <w:color w:val="000000" w:themeColor="text1"/>
        </w:rPr>
        <w:t xml:space="preserve"> 13 experiments that are part of Run G</w:t>
      </w:r>
      <w:r w:rsidR="00211A32" w:rsidRPr="006110FA">
        <w:rPr>
          <w:color w:val="000000" w:themeColor="text1"/>
        </w:rPr>
        <w:t xml:space="preserve">roup A </w:t>
      </w:r>
      <w:r w:rsidRPr="006110FA">
        <w:rPr>
          <w:color w:val="000000" w:themeColor="text1"/>
        </w:rPr>
        <w:t>coordinated and how are decisions on priorities taken? Provide a road map with trackable milestones.</w:t>
      </w:r>
      <w:r w:rsidR="00B7668C">
        <w:rPr>
          <w:color w:val="000000" w:themeColor="text1"/>
        </w:rPr>
        <w:t xml:space="preserve"> </w:t>
      </w:r>
    </w:p>
    <w:p w14:paraId="015958AE" w14:textId="22C54093" w:rsidR="009E6ADE" w:rsidRPr="006110FA" w:rsidRDefault="009E6ADE" w:rsidP="00211A32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What is the anticip</w:t>
      </w:r>
      <w:r w:rsidR="008A7C01" w:rsidRPr="006110FA">
        <w:rPr>
          <w:color w:val="000000" w:themeColor="text1"/>
        </w:rPr>
        <w:t>ated duration for the data processing</w:t>
      </w:r>
      <w:r w:rsidRPr="006110FA">
        <w:rPr>
          <w:color w:val="000000" w:themeColor="text1"/>
        </w:rPr>
        <w:t xml:space="preserve"> of the FY18 data taking?</w:t>
      </w:r>
      <w:r w:rsidR="004E6214" w:rsidRPr="006110FA">
        <w:rPr>
          <w:color w:val="000000" w:themeColor="text1"/>
        </w:rPr>
        <w:t xml:space="preserve">  (VZ)</w:t>
      </w:r>
    </w:p>
    <w:p w14:paraId="5BABB565" w14:textId="044B1914" w:rsidR="009E6ADE" w:rsidRPr="006110FA" w:rsidRDefault="009E6ADE" w:rsidP="00211A32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Are the simulations in line with the data? Show the comparison of the data collected so far with the projected result</w:t>
      </w:r>
      <w:r w:rsidR="00211A32" w:rsidRPr="006110FA">
        <w:rPr>
          <w:color w:val="000000" w:themeColor="text1"/>
        </w:rPr>
        <w:t xml:space="preserve">s for the 13 experiments of </w:t>
      </w:r>
      <w:r w:rsidRPr="006110FA">
        <w:rPr>
          <w:color w:val="000000" w:themeColor="text1"/>
        </w:rPr>
        <w:t>Run Group A</w:t>
      </w:r>
      <w:r w:rsidR="00211A32" w:rsidRPr="006110FA">
        <w:rPr>
          <w:color w:val="000000" w:themeColor="text1"/>
        </w:rPr>
        <w:t>.</w:t>
      </w:r>
      <w:r w:rsidR="004E6214" w:rsidRPr="006110FA">
        <w:rPr>
          <w:color w:val="000000" w:themeColor="text1"/>
        </w:rPr>
        <w:t>(3c)</w:t>
      </w:r>
    </w:p>
    <w:p w14:paraId="5BAA5F53" w14:textId="2D8DB840" w:rsidR="009B074E" w:rsidRPr="006110FA" w:rsidRDefault="009B074E" w:rsidP="00717789">
      <w:pPr>
        <w:pStyle w:val="ListParagraph"/>
        <w:numPr>
          <w:ilvl w:val="0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 xml:space="preserve">Assess the state of the </w:t>
      </w:r>
      <w:r w:rsidR="002039F8" w:rsidRPr="006110FA">
        <w:rPr>
          <w:color w:val="000000" w:themeColor="text1"/>
        </w:rPr>
        <w:t xml:space="preserve">CLAS12 </w:t>
      </w:r>
      <w:r w:rsidRPr="006110FA">
        <w:rPr>
          <w:color w:val="000000" w:themeColor="text1"/>
        </w:rPr>
        <w:t>Software and Co</w:t>
      </w:r>
      <w:r w:rsidR="00B7668C">
        <w:rPr>
          <w:color w:val="000000" w:themeColor="text1"/>
        </w:rPr>
        <w:t>mputing Organization, including</w:t>
      </w:r>
      <w:bookmarkStart w:id="0" w:name="_GoBack"/>
      <w:bookmarkEnd w:id="0"/>
      <w:r w:rsidRPr="006110FA">
        <w:rPr>
          <w:color w:val="000000" w:themeColor="text1"/>
        </w:rPr>
        <w:t xml:space="preserve"> r</w:t>
      </w:r>
      <w:r w:rsidR="002039F8" w:rsidRPr="006110FA">
        <w:rPr>
          <w:color w:val="000000" w:themeColor="text1"/>
        </w:rPr>
        <w:t>oles and responsibilities and connections to external groups</w:t>
      </w:r>
      <w:r w:rsidR="004E6214" w:rsidRPr="006110FA">
        <w:rPr>
          <w:color w:val="000000" w:themeColor="text1"/>
        </w:rPr>
        <w:t xml:space="preserve"> </w:t>
      </w:r>
    </w:p>
    <w:p w14:paraId="261F07C6" w14:textId="24C4DC15" w:rsidR="00B13D0A" w:rsidRPr="006110FA" w:rsidRDefault="00B13D0A" w:rsidP="002039F8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How is software and computing proactively managed?</w:t>
      </w:r>
    </w:p>
    <w:p w14:paraId="3217D024" w14:textId="61521C92" w:rsidR="002039F8" w:rsidRPr="006110FA" w:rsidRDefault="002039F8" w:rsidP="002039F8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 xml:space="preserve">Have all important roles been identified?   Are there clear lines of accountability in CLAS12 for software and computing?  </w:t>
      </w:r>
    </w:p>
    <w:p w14:paraId="5698B883" w14:textId="129ED1EA" w:rsidR="009B074E" w:rsidRPr="006110FA" w:rsidRDefault="009B074E" w:rsidP="009B074E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What is the interplay of Hall B staff and CLAS 12 collaborators for software and computing responsibilities?  Are there any gaps in responsibilities?  If so, what is</w:t>
      </w:r>
      <w:r w:rsidR="00095337" w:rsidRPr="006110FA">
        <w:rPr>
          <w:color w:val="000000" w:themeColor="text1"/>
        </w:rPr>
        <w:t xml:space="preserve"> the plan to address those gaps?</w:t>
      </w:r>
    </w:p>
    <w:p w14:paraId="3BEB65B6" w14:textId="77777777" w:rsidR="002039F8" w:rsidRPr="006110FA" w:rsidRDefault="002039F8" w:rsidP="002039F8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Are</w:t>
      </w:r>
      <w:r w:rsidR="00717789" w:rsidRPr="006110FA">
        <w:rPr>
          <w:color w:val="000000" w:themeColor="text1"/>
        </w:rPr>
        <w:t xml:space="preserve"> DAQ and offline computing ad</w:t>
      </w:r>
      <w:r w:rsidR="000969B9" w:rsidRPr="006110FA">
        <w:rPr>
          <w:color w:val="000000" w:themeColor="text1"/>
        </w:rPr>
        <w:t>equately sta</w:t>
      </w:r>
      <w:r w:rsidRPr="006110FA">
        <w:rPr>
          <w:color w:val="000000" w:themeColor="text1"/>
        </w:rPr>
        <w:t>ffed?</w:t>
      </w:r>
      <w:r w:rsidR="000969B9" w:rsidRPr="006110FA">
        <w:rPr>
          <w:color w:val="000000" w:themeColor="text1"/>
        </w:rPr>
        <w:t xml:space="preserve">     Have risks associated with operationally critical roles been identified</w:t>
      </w:r>
      <w:r w:rsidRPr="006110FA">
        <w:rPr>
          <w:color w:val="000000" w:themeColor="text1"/>
        </w:rPr>
        <w:t xml:space="preserve"> and addressed</w:t>
      </w:r>
      <w:r w:rsidR="000969B9" w:rsidRPr="006110FA">
        <w:rPr>
          <w:color w:val="000000" w:themeColor="text1"/>
        </w:rPr>
        <w:t xml:space="preserve">?  </w:t>
      </w:r>
    </w:p>
    <w:p w14:paraId="50A9D514" w14:textId="418A32C2" w:rsidR="00095337" w:rsidRPr="006110FA" w:rsidRDefault="00B13D0A" w:rsidP="002039F8">
      <w:pPr>
        <w:pStyle w:val="ListParagraph"/>
        <w:numPr>
          <w:ilvl w:val="1"/>
          <w:numId w:val="1"/>
        </w:numPr>
        <w:spacing w:before="160"/>
        <w:contextualSpacing w:val="0"/>
        <w:rPr>
          <w:color w:val="000000" w:themeColor="text1"/>
        </w:rPr>
      </w:pPr>
      <w:r w:rsidRPr="006110FA">
        <w:rPr>
          <w:color w:val="000000" w:themeColor="text1"/>
        </w:rPr>
        <w:t>Present the status of</w:t>
      </w:r>
      <w:r w:rsidR="00095337" w:rsidRPr="006110FA">
        <w:rPr>
          <w:color w:val="000000" w:themeColor="text1"/>
        </w:rPr>
        <w:t xml:space="preserve"> in-kind contributions of computing resources from</w:t>
      </w:r>
      <w:r w:rsidR="002039F8" w:rsidRPr="006110FA">
        <w:rPr>
          <w:color w:val="000000" w:themeColor="text1"/>
        </w:rPr>
        <w:t xml:space="preserve"> CLAS12</w:t>
      </w:r>
      <w:r w:rsidR="00095337" w:rsidRPr="006110FA">
        <w:rPr>
          <w:color w:val="000000" w:themeColor="text1"/>
        </w:rPr>
        <w:t xml:space="preserve"> collaborating universities and other institutions</w:t>
      </w:r>
      <w:r w:rsidRPr="006110FA">
        <w:rPr>
          <w:color w:val="000000" w:themeColor="text1"/>
        </w:rPr>
        <w:t>. How are these managed and integrated in CLAS12 software and computing?</w:t>
      </w:r>
    </w:p>
    <w:p w14:paraId="3B897D53" w14:textId="747D98F0" w:rsidR="0002273F" w:rsidRPr="006110FA" w:rsidRDefault="00211A32" w:rsidP="00211A32">
      <w:pPr>
        <w:spacing w:before="160"/>
        <w:rPr>
          <w:color w:val="000000" w:themeColor="text1"/>
        </w:rPr>
      </w:pPr>
      <w:r w:rsidRPr="006110FA">
        <w:rPr>
          <w:color w:val="000000" w:themeColor="text1"/>
        </w:rPr>
        <w:t>We also request the committee to c</w:t>
      </w:r>
      <w:r w:rsidR="00095337" w:rsidRPr="006110FA">
        <w:rPr>
          <w:color w:val="000000" w:themeColor="text1"/>
        </w:rPr>
        <w:t xml:space="preserve">omment on any considerations relative to the needs for computing for the 12 GeV program as a whole.   Do the resource requirements for CLAS12 cause any cost considerations or other concerns?   Prioritize the concerns with respect to the needs to respond to the 2017 S&amp;T review recommendation to submit a plan for 12 GeV Computing. </w:t>
      </w:r>
    </w:p>
    <w:p w14:paraId="2116B372" w14:textId="77777777" w:rsidR="0002273F" w:rsidRPr="006110FA" w:rsidRDefault="0002273F" w:rsidP="00211A32">
      <w:pPr>
        <w:pStyle w:val="ListParagraph"/>
        <w:spacing w:before="160"/>
        <w:rPr>
          <w:color w:val="000000" w:themeColor="text1"/>
        </w:rPr>
      </w:pPr>
    </w:p>
    <w:p w14:paraId="6B5A3E39" w14:textId="6FCE8455" w:rsidR="00717789" w:rsidRPr="006110FA" w:rsidRDefault="00717789" w:rsidP="000969B9">
      <w:pPr>
        <w:pStyle w:val="ListParagraph"/>
        <w:spacing w:before="160"/>
        <w:contextualSpacing w:val="0"/>
        <w:rPr>
          <w:color w:val="000000" w:themeColor="text1"/>
        </w:rPr>
      </w:pPr>
    </w:p>
    <w:sectPr w:rsidR="00717789" w:rsidRPr="006110FA" w:rsidSect="002039F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9F7AAE" w16cid:durableId="1E6DD6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Sawndip">
    <w:altName w:val="ＭＳ 明朝"/>
    <w:charset w:val="00"/>
    <w:family w:val="auto"/>
    <w:pitch w:val="variable"/>
    <w:sig w:usb0="A00002FF" w:usb1="3ACFFDFF" w:usb2="04000036" w:usb3="00000000" w:csb0="0016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5257"/>
    <w:multiLevelType w:val="hybridMultilevel"/>
    <w:tmpl w:val="CD524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7461"/>
    <w:multiLevelType w:val="hybridMultilevel"/>
    <w:tmpl w:val="DD963FBC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89"/>
    <w:rsid w:val="0002273F"/>
    <w:rsid w:val="0002695F"/>
    <w:rsid w:val="00095337"/>
    <w:rsid w:val="000969B9"/>
    <w:rsid w:val="000A55F4"/>
    <w:rsid w:val="00162FB6"/>
    <w:rsid w:val="002039F8"/>
    <w:rsid w:val="00206066"/>
    <w:rsid w:val="00211A32"/>
    <w:rsid w:val="0028453E"/>
    <w:rsid w:val="00296955"/>
    <w:rsid w:val="002B0DEB"/>
    <w:rsid w:val="002B1A9C"/>
    <w:rsid w:val="002B39BC"/>
    <w:rsid w:val="0031584A"/>
    <w:rsid w:val="003D3BC0"/>
    <w:rsid w:val="004A5CF1"/>
    <w:rsid w:val="004E6214"/>
    <w:rsid w:val="005A37ED"/>
    <w:rsid w:val="006110FA"/>
    <w:rsid w:val="006609BF"/>
    <w:rsid w:val="00661EAF"/>
    <w:rsid w:val="00711D1C"/>
    <w:rsid w:val="00716E3C"/>
    <w:rsid w:val="00717789"/>
    <w:rsid w:val="00770240"/>
    <w:rsid w:val="00792C34"/>
    <w:rsid w:val="0081546F"/>
    <w:rsid w:val="00821D92"/>
    <w:rsid w:val="0084078A"/>
    <w:rsid w:val="008A7C01"/>
    <w:rsid w:val="009B074E"/>
    <w:rsid w:val="009E4A17"/>
    <w:rsid w:val="009E6ADE"/>
    <w:rsid w:val="00A359DE"/>
    <w:rsid w:val="00A405FB"/>
    <w:rsid w:val="00A4742D"/>
    <w:rsid w:val="00B13D0A"/>
    <w:rsid w:val="00B41772"/>
    <w:rsid w:val="00B60BEF"/>
    <w:rsid w:val="00B7668C"/>
    <w:rsid w:val="00B94E3F"/>
    <w:rsid w:val="00B94E45"/>
    <w:rsid w:val="00C07559"/>
    <w:rsid w:val="00D12E3F"/>
    <w:rsid w:val="00D45E87"/>
    <w:rsid w:val="00D502ED"/>
    <w:rsid w:val="00D73BD1"/>
    <w:rsid w:val="00DA2013"/>
    <w:rsid w:val="00DA5265"/>
    <w:rsid w:val="00DF7ACF"/>
    <w:rsid w:val="00E53C01"/>
    <w:rsid w:val="00E96BA6"/>
    <w:rsid w:val="00F40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D07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1-ZW">
    <w:name w:val="Poetry1-ZW"/>
    <w:basedOn w:val="Normal"/>
    <w:qFormat/>
    <w:rsid w:val="00B41772"/>
    <w:pPr>
      <w:widowControl w:val="0"/>
      <w:tabs>
        <w:tab w:val="left" w:pos="144"/>
      </w:tabs>
      <w:autoSpaceDE w:val="0"/>
      <w:autoSpaceDN w:val="0"/>
      <w:adjustRightInd w:val="0"/>
      <w:spacing w:line="300" w:lineRule="exact"/>
      <w:ind w:left="360" w:right="144" w:hanging="360"/>
    </w:pPr>
    <w:rPr>
      <w:rFonts w:ascii="Charis SIL" w:hAnsi="Charis SIL"/>
      <w:noProof/>
      <w:color w:val="000000"/>
      <w:sz w:val="23"/>
      <w:lang w:eastAsia="zh-CN"/>
    </w:rPr>
  </w:style>
  <w:style w:type="paragraph" w:customStyle="1" w:styleId="Poetry2-ZW">
    <w:name w:val="Poetry2-ZW"/>
    <w:basedOn w:val="Normal"/>
    <w:qFormat/>
    <w:rsid w:val="00B41772"/>
    <w:pPr>
      <w:widowControl w:val="0"/>
      <w:autoSpaceDE w:val="0"/>
      <w:autoSpaceDN w:val="0"/>
      <w:adjustRightInd w:val="0"/>
      <w:spacing w:line="300" w:lineRule="exact"/>
      <w:ind w:left="432" w:right="288" w:hanging="144"/>
    </w:pPr>
    <w:rPr>
      <w:rFonts w:ascii="Charis SIL" w:hAnsi="Charis SIL"/>
      <w:noProof/>
      <w:color w:val="000000"/>
      <w:sz w:val="23"/>
      <w:lang w:eastAsia="zh-CN"/>
    </w:rPr>
  </w:style>
  <w:style w:type="paragraph" w:customStyle="1" w:styleId="Poetry1-CH">
    <w:name w:val="Poetry1-CH"/>
    <w:basedOn w:val="Normal"/>
    <w:qFormat/>
    <w:rsid w:val="00B41772"/>
    <w:pPr>
      <w:tabs>
        <w:tab w:val="left" w:pos="144"/>
      </w:tabs>
      <w:spacing w:line="300" w:lineRule="exact"/>
      <w:ind w:left="360" w:right="101" w:hanging="360"/>
    </w:pPr>
    <w:rPr>
      <w:rFonts w:ascii="Sawndip" w:eastAsia="Sawndip" w:hAnsi="Sawndip"/>
      <w:noProof/>
      <w:sz w:val="27"/>
      <w:szCs w:val="28"/>
    </w:rPr>
  </w:style>
  <w:style w:type="paragraph" w:customStyle="1" w:styleId="Poetry2-CH">
    <w:name w:val="Poetry2-CH"/>
    <w:basedOn w:val="Normal"/>
    <w:qFormat/>
    <w:rsid w:val="00B41772"/>
    <w:pPr>
      <w:spacing w:line="300" w:lineRule="exact"/>
      <w:ind w:left="432" w:right="216" w:hanging="144"/>
    </w:pPr>
    <w:rPr>
      <w:rFonts w:ascii="Sawndip" w:eastAsia="Sawndip" w:hAnsi="Sawndip"/>
      <w:noProof/>
      <w:sz w:val="27"/>
      <w:szCs w:val="28"/>
    </w:rPr>
  </w:style>
  <w:style w:type="paragraph" w:customStyle="1" w:styleId="Para-MI">
    <w:name w:val="Para-MI"/>
    <w:basedOn w:val="Normal"/>
    <w:qFormat/>
    <w:rsid w:val="00B41772"/>
    <w:pPr>
      <w:widowControl w:val="0"/>
      <w:autoSpaceDE w:val="0"/>
      <w:autoSpaceDN w:val="0"/>
      <w:adjustRightInd w:val="0"/>
      <w:spacing w:line="300" w:lineRule="exact"/>
      <w:ind w:left="187" w:right="144"/>
      <w:jc w:val="both"/>
    </w:pPr>
    <w:rPr>
      <w:rFonts w:ascii="Charis SIL" w:hAnsi="Charis SIL"/>
      <w:noProof/>
      <w:color w:val="000000"/>
      <w:sz w:val="23"/>
      <w:lang w:eastAsia="zh-CN"/>
    </w:rPr>
  </w:style>
  <w:style w:type="paragraph" w:customStyle="1" w:styleId="Para-MI-CH">
    <w:name w:val="Para-MI-CH"/>
    <w:basedOn w:val="Normal"/>
    <w:qFormat/>
    <w:rsid w:val="00B41772"/>
    <w:pPr>
      <w:spacing w:line="300" w:lineRule="exact"/>
      <w:ind w:left="144"/>
      <w:jc w:val="both"/>
    </w:pPr>
    <w:rPr>
      <w:rFonts w:ascii="Sawndip" w:eastAsia="Sawndip" w:hAnsi="Sawndip"/>
      <w:noProof/>
      <w:sz w:val="27"/>
      <w:szCs w:val="28"/>
    </w:rPr>
  </w:style>
  <w:style w:type="paragraph" w:customStyle="1" w:styleId="Para-PI">
    <w:name w:val="Para-PI"/>
    <w:basedOn w:val="Para-MI"/>
    <w:qFormat/>
    <w:rsid w:val="00B41772"/>
    <w:pPr>
      <w:ind w:firstLine="187"/>
    </w:pPr>
  </w:style>
  <w:style w:type="paragraph" w:customStyle="1" w:styleId="Para-PI-CH">
    <w:name w:val="Para-PI-CH"/>
    <w:basedOn w:val="Para-MI-CH"/>
    <w:qFormat/>
    <w:rsid w:val="00B41772"/>
    <w:pPr>
      <w:ind w:firstLine="144"/>
    </w:pPr>
  </w:style>
  <w:style w:type="paragraph" w:styleId="ListParagraph">
    <w:name w:val="List Paragraph"/>
    <w:basedOn w:val="Normal"/>
    <w:uiPriority w:val="34"/>
    <w:qFormat/>
    <w:rsid w:val="007177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5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5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5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5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5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Ent</dc:creator>
  <cp:lastModifiedBy>latifa Elouadrhiri</cp:lastModifiedBy>
  <cp:revision>3</cp:revision>
  <cp:lastPrinted>2018-04-09T22:27:00Z</cp:lastPrinted>
  <dcterms:created xsi:type="dcterms:W3CDTF">2018-04-23T10:04:00Z</dcterms:created>
  <dcterms:modified xsi:type="dcterms:W3CDTF">2018-05-07T15:40:00Z</dcterms:modified>
</cp:coreProperties>
</file>