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CF6C6" w14:textId="111B894F" w:rsidR="00452CEE" w:rsidRDefault="001A3671" w:rsidP="001A3671">
      <w:pPr>
        <w:pBdr>
          <w:bottom w:val="single" w:sz="4" w:space="1" w:color="auto"/>
        </w:pBd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 w:val="28"/>
          <w:szCs w:val="24"/>
        </w:rPr>
      </w:pPr>
      <w:r>
        <w:rPr>
          <w:rFonts w:ascii="Palatino Linotype" w:eastAsia="Times New Roman" w:hAnsi="Palatino Linotype" w:cs="Times New Roman"/>
          <w:b/>
          <w:sz w:val="28"/>
          <w:szCs w:val="24"/>
        </w:rPr>
        <w:t>Review of SLAC’s NCR Reporting Procedure</w:t>
      </w:r>
    </w:p>
    <w:p w14:paraId="686F5AC9" w14:textId="10DCCB49" w:rsidR="002A4913" w:rsidRPr="002A4913" w:rsidRDefault="002A4913" w:rsidP="001A3671">
      <w:pPr>
        <w:pBdr>
          <w:bottom w:val="single" w:sz="4" w:space="1" w:color="auto"/>
        </w:pBd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 w:val="20"/>
          <w:szCs w:val="24"/>
        </w:rPr>
      </w:pPr>
      <w:r>
        <w:rPr>
          <w:rFonts w:ascii="Palatino Linotype" w:eastAsia="Times New Roman" w:hAnsi="Palatino Linotype" w:cs="Times New Roman"/>
          <w:b/>
          <w:sz w:val="20"/>
          <w:szCs w:val="24"/>
        </w:rPr>
        <w:t xml:space="preserve">Document URL:  </w:t>
      </w:r>
      <w:hyperlink r:id="rId9" w:history="1">
        <w:r w:rsidRPr="002A4913">
          <w:rPr>
            <w:rStyle w:val="Hyperlink"/>
            <w:rFonts w:ascii="Palatino Linotype" w:eastAsia="Times New Roman" w:hAnsi="Palatino Linotype" w:cs="Times New Roman"/>
            <w:b/>
            <w:sz w:val="20"/>
            <w:szCs w:val="24"/>
          </w:rPr>
          <w:t>https://slac.sharepoint.com/:w:/r/sites/lcls/lcls-2-he/wd/Quality%20Assurance/LCLSII-HE-1.1-QA-0232.docx?d=w5bdd805d1ba34487893b56ffdc4b27fa&amp;csf=1&amp;web=1&amp;e=nUXoB3</w:t>
        </w:r>
      </w:hyperlink>
    </w:p>
    <w:p w14:paraId="059459E6" w14:textId="77777777" w:rsidR="002A4913" w:rsidRP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4353D349" w14:textId="3BAA0BD2" w:rsidR="001A3671" w:rsidRP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  <w:r w:rsidRPr="002A4913">
        <w:rPr>
          <w:rFonts w:ascii="Palatino Linotype" w:eastAsia="Times New Roman" w:hAnsi="Palatino Linotype" w:cs="Times New Roman"/>
          <w:sz w:val="20"/>
          <w:szCs w:val="20"/>
        </w:rPr>
        <w:t>Excerpts where Partner Lab responsibilities are discussed.</w:t>
      </w:r>
    </w:p>
    <w:p w14:paraId="527A20FD" w14:textId="77777777" w:rsidR="002A4913" w:rsidRP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01DD6AB2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Cs w:val="20"/>
        </w:rPr>
      </w:pPr>
      <w:r w:rsidRPr="002A4913">
        <w:rPr>
          <w:rFonts w:ascii="Palatino Linotype" w:eastAsia="Times New Roman" w:hAnsi="Palatino Linotype" w:cs="Times New Roman"/>
          <w:b/>
          <w:szCs w:val="20"/>
        </w:rPr>
        <w:t>Section 2 Authority and Applicability</w:t>
      </w:r>
    </w:p>
    <w:p w14:paraId="2652D39B" w14:textId="77777777" w:rsidR="00452CEE" w:rsidRPr="002A4913" w:rsidRDefault="00452CEE" w:rsidP="00452CEE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  <w:r w:rsidRPr="002A4913">
        <w:rPr>
          <w:rStyle w:val="normaltextrun"/>
          <w:rFonts w:ascii="Palatino Linotype" w:hAnsi="Palatino Linotype" w:cs="Calibri"/>
          <w:b/>
          <w:i/>
          <w:sz w:val="20"/>
          <w:szCs w:val="20"/>
          <w:highlight w:val="yellow"/>
          <w:u w:val="single"/>
        </w:rPr>
        <w:t>Nonconformances owned by Partner Laboratories (PLs) and their suppliers/subcontractors</w:t>
      </w:r>
      <w:r w:rsidRPr="002A4913">
        <w:rPr>
          <w:rStyle w:val="normaltextrun"/>
          <w:rFonts w:ascii="Palatino Linotype" w:hAnsi="Palatino Linotype" w:cs="Calibri"/>
          <w:sz w:val="20"/>
          <w:szCs w:val="20"/>
        </w:rPr>
        <w:t xml:space="preserve"> (i.e., the items have not been delivered to, or the ownership and responsibility transferred to, SLAC) </w:t>
      </w:r>
      <w:r w:rsidRPr="002A4913">
        <w:rPr>
          <w:rStyle w:val="normaltextrun"/>
          <w:rFonts w:ascii="Palatino Linotype" w:hAnsi="Palatino Linotype" w:cs="Calibri"/>
          <w:b/>
          <w:i/>
          <w:sz w:val="20"/>
          <w:szCs w:val="20"/>
          <w:highlight w:val="yellow"/>
          <w:u w:val="single"/>
        </w:rPr>
        <w:t>shall be handled by PL nonconformance processes and documented as required by their respective quality assurance (QA) programs</w:t>
      </w:r>
      <w:r w:rsidRPr="002A4913">
        <w:rPr>
          <w:rStyle w:val="normaltextrun"/>
          <w:rFonts w:ascii="Palatino Linotype" w:hAnsi="Palatino Linotype" w:cs="Calibri"/>
          <w:sz w:val="20"/>
          <w:szCs w:val="20"/>
        </w:rPr>
        <w:t xml:space="preserve"> and shall be consistent with SLAC requirements specified in this document.</w:t>
      </w:r>
      <w:r w:rsidRPr="002A4913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528CA9D7" w14:textId="77777777" w:rsidR="00452CEE" w:rsidRPr="002A4913" w:rsidRDefault="00452CEE" w:rsidP="00452CEE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  <w:r w:rsidRPr="002A4913">
        <w:rPr>
          <w:rStyle w:val="normaltextrun"/>
          <w:rFonts w:ascii="Palatino Linotype" w:hAnsi="Palatino Linotype" w:cs="Calibri"/>
          <w:sz w:val="20"/>
          <w:szCs w:val="20"/>
        </w:rPr>
        <w:t>Where it is applicable, this procedure specifies specific requirements on a collaborative effort for NCs found at PLs such as:</w:t>
      </w:r>
      <w:r w:rsidRPr="002A4913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795C875A" w14:textId="77777777" w:rsidR="00452CEE" w:rsidRPr="002A4913" w:rsidRDefault="00452CEE" w:rsidP="00452C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  <w:r w:rsidRPr="002A4913">
        <w:rPr>
          <w:rStyle w:val="normaltextrun"/>
          <w:rFonts w:ascii="Palatino Linotype" w:hAnsi="Palatino Linotype" w:cs="Calibri"/>
          <w:sz w:val="20"/>
          <w:szCs w:val="20"/>
        </w:rPr>
        <w:t>transferring nonconformance data to SLAC (</w:t>
      </w:r>
      <w:r w:rsidRPr="002A4913">
        <w:rPr>
          <w:rStyle w:val="normaltextrun"/>
          <w:rFonts w:ascii="Palatino Linotype" w:hAnsi="Palatino Linotype" w:cs="Calibri"/>
          <w:color w:val="000000"/>
          <w:sz w:val="20"/>
          <w:szCs w:val="20"/>
          <w:u w:val="single"/>
          <w:shd w:val="clear" w:color="auto" w:fill="E1E3E6"/>
        </w:rPr>
        <w:t>Section 4.1.1</w:t>
      </w:r>
      <w:r w:rsidRPr="002A4913">
        <w:rPr>
          <w:rStyle w:val="normaltextrun"/>
          <w:rFonts w:ascii="Palatino Linotype" w:hAnsi="Palatino Linotype" w:cs="Calibri"/>
          <w:sz w:val="20"/>
          <w:szCs w:val="20"/>
        </w:rPr>
        <w:t>); </w:t>
      </w:r>
      <w:r w:rsidRPr="002A4913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6DC17743" w14:textId="77777777" w:rsidR="00452CEE" w:rsidRPr="002A4913" w:rsidRDefault="00452CEE" w:rsidP="00452C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  <w:r w:rsidRPr="002A4913">
        <w:rPr>
          <w:rStyle w:val="normaltextrun"/>
          <w:rFonts w:ascii="Palatino Linotype" w:hAnsi="Palatino Linotype" w:cs="Calibri"/>
          <w:sz w:val="20"/>
          <w:szCs w:val="20"/>
        </w:rPr>
        <w:t>notification timeline of NCs to SLAC (</w:t>
      </w:r>
      <w:r w:rsidRPr="002A4913">
        <w:rPr>
          <w:rStyle w:val="normaltextrun"/>
          <w:rFonts w:ascii="Palatino Linotype" w:hAnsi="Palatino Linotype" w:cs="Calibri"/>
          <w:color w:val="000000"/>
          <w:sz w:val="20"/>
          <w:szCs w:val="20"/>
          <w:u w:val="single"/>
          <w:shd w:val="clear" w:color="auto" w:fill="E1E3E6"/>
        </w:rPr>
        <w:t>Section 4.1.2</w:t>
      </w:r>
      <w:r w:rsidRPr="002A4913">
        <w:rPr>
          <w:rStyle w:val="normaltextrun"/>
          <w:rFonts w:ascii="Palatino Linotype" w:hAnsi="Palatino Linotype" w:cs="Calibri"/>
          <w:sz w:val="20"/>
          <w:szCs w:val="20"/>
        </w:rPr>
        <w:t>);</w:t>
      </w:r>
      <w:r w:rsidRPr="002A4913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32093103" w14:textId="77777777" w:rsidR="00452CEE" w:rsidRPr="002A4913" w:rsidRDefault="00452CEE" w:rsidP="00452C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  <w:r w:rsidRPr="002A4913">
        <w:rPr>
          <w:rStyle w:val="normaltextrun"/>
          <w:rFonts w:ascii="Palatino Linotype" w:hAnsi="Palatino Linotype" w:cs="Calibri"/>
          <w:sz w:val="20"/>
          <w:szCs w:val="20"/>
        </w:rPr>
        <w:t>roles and responsibilities of SLAC Project personnel involvement in the review and approval of nonconformance disposition </w:t>
      </w:r>
      <w:r w:rsidRPr="002A4913">
        <w:rPr>
          <w:rStyle w:val="normaltextrun"/>
          <w:rFonts w:ascii="Palatino Linotype" w:hAnsi="Palatino Linotype" w:cs="Calibri"/>
          <w:b/>
          <w:i/>
          <w:color w:val="000000"/>
          <w:sz w:val="20"/>
          <w:szCs w:val="20"/>
          <w:highlight w:val="yellow"/>
          <w:u w:val="single"/>
        </w:rPr>
        <w:t>when items fail to meet the performance requirements in the specifications and/or acceptance requirement documents or when mechanical interfaces will affect the form, fit, function of SLAC installation activities</w:t>
      </w:r>
      <w:r w:rsidRPr="002A4913">
        <w:rPr>
          <w:rStyle w:val="normaltextrun"/>
          <w:rFonts w:ascii="Palatino Linotype" w:hAnsi="Palatino Linotype" w:cs="Calibri"/>
          <w:color w:val="000000"/>
          <w:sz w:val="20"/>
          <w:szCs w:val="20"/>
        </w:rPr>
        <w:t> </w:t>
      </w:r>
      <w:r w:rsidRPr="002A4913">
        <w:rPr>
          <w:rStyle w:val="normaltextrun"/>
          <w:rFonts w:ascii="Palatino Linotype" w:hAnsi="Palatino Linotype" w:cs="Calibri"/>
          <w:sz w:val="20"/>
          <w:szCs w:val="20"/>
        </w:rPr>
        <w:t>(</w:t>
      </w:r>
      <w:r w:rsidRPr="002A4913">
        <w:rPr>
          <w:rStyle w:val="normaltextrun"/>
          <w:rFonts w:ascii="Palatino Linotype" w:hAnsi="Palatino Linotype" w:cs="Calibri"/>
          <w:color w:val="000000"/>
          <w:sz w:val="20"/>
          <w:szCs w:val="20"/>
          <w:u w:val="single"/>
          <w:shd w:val="clear" w:color="auto" w:fill="E1E3E6"/>
        </w:rPr>
        <w:t>Section 4.1.3</w:t>
      </w:r>
      <w:r w:rsidRPr="002A4913">
        <w:rPr>
          <w:rStyle w:val="normaltextrun"/>
          <w:rFonts w:ascii="Palatino Linotype" w:hAnsi="Palatino Linotype" w:cs="Calibri"/>
          <w:sz w:val="20"/>
          <w:szCs w:val="20"/>
        </w:rPr>
        <w:t>).</w:t>
      </w:r>
      <w:r w:rsidRPr="002A4913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25AA1AAE" w14:textId="77777777" w:rsidR="00452CEE" w:rsidRPr="002A4913" w:rsidRDefault="00452CEE" w:rsidP="00452CE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Palatino Linotype" w:hAnsi="Palatino Linotype" w:cs="Calibri"/>
          <w:sz w:val="20"/>
          <w:szCs w:val="20"/>
        </w:rPr>
      </w:pPr>
      <w:r w:rsidRPr="002A4913">
        <w:rPr>
          <w:rStyle w:val="normaltextrun"/>
          <w:rFonts w:ascii="Palatino Linotype" w:hAnsi="Palatino Linotype" w:cs="Calibri"/>
          <w:sz w:val="20"/>
          <w:szCs w:val="20"/>
        </w:rPr>
        <w:t>updating SLAC on NC status (</w:t>
      </w:r>
      <w:r w:rsidRPr="002A4913">
        <w:rPr>
          <w:rStyle w:val="normaltextrun"/>
          <w:rFonts w:ascii="Palatino Linotype" w:hAnsi="Palatino Linotype" w:cs="Calibri"/>
          <w:color w:val="000000"/>
          <w:sz w:val="20"/>
          <w:szCs w:val="20"/>
          <w:u w:val="single"/>
          <w:shd w:val="clear" w:color="auto" w:fill="E1E3E6"/>
        </w:rPr>
        <w:t>Section 4.1.4</w:t>
      </w:r>
      <w:r w:rsidRPr="002A4913">
        <w:rPr>
          <w:rStyle w:val="normaltextrun"/>
          <w:rFonts w:ascii="Palatino Linotype" w:hAnsi="Palatino Linotype" w:cs="Calibri"/>
          <w:sz w:val="20"/>
          <w:szCs w:val="20"/>
        </w:rPr>
        <w:t>). </w:t>
      </w:r>
      <w:r w:rsidRPr="002A4913">
        <w:rPr>
          <w:rStyle w:val="eop"/>
          <w:rFonts w:ascii="Palatino Linotype" w:hAnsi="Palatino Linotype" w:cs="Calibri"/>
          <w:sz w:val="20"/>
          <w:szCs w:val="20"/>
        </w:rPr>
        <w:t> </w:t>
      </w:r>
    </w:p>
    <w:p w14:paraId="09CE4FD8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AD9C1A6" w14:textId="77777777" w:rsidR="00452CEE" w:rsidRPr="002A4913" w:rsidRDefault="00B54464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Cs w:val="20"/>
        </w:rPr>
      </w:pPr>
      <w:r w:rsidRPr="002A4913">
        <w:rPr>
          <w:rFonts w:ascii="Palatino Linotype" w:hAnsi="Palatino Linotype" w:cs="Calibri"/>
          <w:b/>
          <w:i/>
          <w:color w:val="FF0000"/>
          <w:szCs w:val="20"/>
        </w:rPr>
        <w:t>SLAC must approve some NCRs before closure. Evidence (e.g. PDF of email) should be uploaded to our NCR.</w:t>
      </w:r>
    </w:p>
    <w:p w14:paraId="1EE6CF47" w14:textId="77777777" w:rsidR="00B54464" w:rsidRPr="002A4913" w:rsidRDefault="00B54464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08A35B69" w14:textId="77777777" w:rsidR="00B54464" w:rsidRPr="002A4913" w:rsidRDefault="00B54464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7DF67207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Cs w:val="20"/>
        </w:rPr>
      </w:pPr>
      <w:r w:rsidRPr="002A4913">
        <w:rPr>
          <w:rFonts w:ascii="Palatino Linotype" w:eastAsia="Times New Roman" w:hAnsi="Palatino Linotype" w:cs="Times New Roman"/>
          <w:b/>
          <w:szCs w:val="20"/>
        </w:rPr>
        <w:t>Section 4.1.1 NCR System</w:t>
      </w:r>
    </w:p>
    <w:p w14:paraId="72818128" w14:textId="77777777" w:rsidR="00452CEE" w:rsidRPr="002A4913" w:rsidRDefault="00452CEE" w:rsidP="00452CEE">
      <w:pPr>
        <w:pStyle w:val="paragraph"/>
        <w:spacing w:before="0" w:beforeAutospacing="0" w:after="0" w:afterAutospacing="0"/>
        <w:textAlignment w:val="baseline"/>
        <w:rPr>
          <w:rFonts w:ascii="Palatino Linotype" w:hAnsi="Palatino Linotype"/>
          <w:sz w:val="20"/>
          <w:szCs w:val="20"/>
        </w:rPr>
      </w:pPr>
      <w:r w:rsidRPr="002A4913">
        <w:rPr>
          <w:rStyle w:val="normaltextrun"/>
          <w:rFonts w:ascii="Palatino Linotype" w:hAnsi="Palatino Linotype"/>
          <w:sz w:val="20"/>
          <w:szCs w:val="20"/>
        </w:rPr>
        <w:t xml:space="preserve">Due to different operating platforms of NCR systems at PLs and SLAC, the following options for data sharing between PLs and SLAC are considered. The most </w:t>
      </w:r>
      <w:r w:rsidR="00DD5FCD" w:rsidRPr="002A4913">
        <w:rPr>
          <w:rStyle w:val="normaltextrun"/>
          <w:rFonts w:ascii="Palatino Linotype" w:hAnsi="Palatino Linotype"/>
          <w:sz w:val="20"/>
          <w:szCs w:val="20"/>
        </w:rPr>
        <w:t>preferable</w:t>
      </w:r>
      <w:r w:rsidRPr="002A4913">
        <w:rPr>
          <w:rStyle w:val="normaltextrun"/>
          <w:rFonts w:ascii="Palatino Linotype" w:hAnsi="Palatino Linotype"/>
          <w:sz w:val="20"/>
          <w:szCs w:val="20"/>
        </w:rPr>
        <w:t xml:space="preserve"> mechanism is the combination of options 1 and 2.  Option 3 is available upon request.</w:t>
      </w:r>
      <w:r w:rsidRPr="002A4913">
        <w:rPr>
          <w:rStyle w:val="eop"/>
          <w:rFonts w:ascii="Palatino Linotype" w:hAnsi="Palatino Linotype"/>
          <w:sz w:val="20"/>
          <w:szCs w:val="20"/>
        </w:rPr>
        <w:t> </w:t>
      </w:r>
    </w:p>
    <w:p w14:paraId="6D44DD3B" w14:textId="77777777" w:rsidR="00452CEE" w:rsidRPr="002A4913" w:rsidRDefault="00452CEE" w:rsidP="00452CE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Palatino Linotype" w:hAnsi="Palatino Linotype"/>
          <w:sz w:val="20"/>
          <w:szCs w:val="20"/>
        </w:rPr>
      </w:pPr>
      <w:r w:rsidRPr="002A4913">
        <w:rPr>
          <w:rStyle w:val="normaltextrun"/>
          <w:rFonts w:ascii="Palatino Linotype" w:hAnsi="Palatino Linotype"/>
          <w:sz w:val="20"/>
          <w:szCs w:val="20"/>
        </w:rPr>
        <w:t>Spreadsheet where data trend can be analyzed, but other information (photographs, drawings, acceptance documents, etc.) are not included.</w:t>
      </w:r>
      <w:r w:rsidRPr="002A4913">
        <w:rPr>
          <w:rStyle w:val="eop"/>
          <w:rFonts w:ascii="Palatino Linotype" w:hAnsi="Palatino Linotype"/>
          <w:sz w:val="20"/>
          <w:szCs w:val="20"/>
        </w:rPr>
        <w:t> </w:t>
      </w:r>
    </w:p>
    <w:p w14:paraId="05E80A76" w14:textId="77777777" w:rsidR="00452CEE" w:rsidRPr="002A4913" w:rsidRDefault="00452CEE" w:rsidP="00452CE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Palatino Linotype" w:hAnsi="Palatino Linotype"/>
          <w:sz w:val="20"/>
          <w:szCs w:val="20"/>
        </w:rPr>
      </w:pPr>
      <w:r w:rsidRPr="002A4913">
        <w:rPr>
          <w:rStyle w:val="normaltextrun"/>
          <w:rFonts w:ascii="Palatino Linotype" w:hAnsi="Palatino Linotype"/>
          <w:sz w:val="20"/>
          <w:szCs w:val="20"/>
        </w:rPr>
        <w:t>SLAC personnel access to PLs’ NCR systems.</w:t>
      </w:r>
      <w:r w:rsidRPr="002A4913">
        <w:rPr>
          <w:rStyle w:val="eop"/>
          <w:rFonts w:ascii="Palatino Linotype" w:hAnsi="Palatino Linotype"/>
          <w:sz w:val="20"/>
          <w:szCs w:val="20"/>
        </w:rPr>
        <w:t> </w:t>
      </w:r>
    </w:p>
    <w:p w14:paraId="31E6053E" w14:textId="77777777" w:rsidR="00452CEE" w:rsidRPr="002A4913" w:rsidRDefault="00452CEE" w:rsidP="00452CEE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Palatino Linotype" w:hAnsi="Palatino Linotype"/>
          <w:sz w:val="20"/>
          <w:szCs w:val="20"/>
        </w:rPr>
      </w:pPr>
      <w:r w:rsidRPr="002A4913">
        <w:rPr>
          <w:rStyle w:val="normaltextrun"/>
          <w:rFonts w:ascii="Palatino Linotype" w:hAnsi="Palatino Linotype"/>
          <w:sz w:val="20"/>
          <w:szCs w:val="20"/>
        </w:rPr>
        <w:t>PDF print out of each report including all metadata but data trend is not easily implemented.</w:t>
      </w:r>
    </w:p>
    <w:p w14:paraId="6063F416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7597E4A7" w14:textId="77777777" w:rsidR="00B54464" w:rsidRPr="002A4913" w:rsidRDefault="00B54464" w:rsidP="00452CEE">
      <w:pPr>
        <w:spacing w:after="0" w:line="240" w:lineRule="auto"/>
        <w:textAlignment w:val="baseline"/>
        <w:rPr>
          <w:rFonts w:ascii="Palatino Linotype" w:hAnsi="Palatino Linotype" w:cs="Calibri"/>
          <w:b/>
          <w:i/>
          <w:color w:val="FF0000"/>
          <w:szCs w:val="20"/>
        </w:rPr>
      </w:pPr>
      <w:r w:rsidRPr="002A4913">
        <w:rPr>
          <w:rFonts w:ascii="Palatino Linotype" w:hAnsi="Palatino Linotype" w:cs="Calibri"/>
          <w:b/>
          <w:i/>
          <w:color w:val="FF0000"/>
          <w:szCs w:val="20"/>
        </w:rPr>
        <w:t>SLAC wants full NCR data at the end of project. Exact method is to be determined later.</w:t>
      </w:r>
    </w:p>
    <w:p w14:paraId="5F2BD3C0" w14:textId="69E6DF6F" w:rsidR="00B54464" w:rsidRDefault="00B54464" w:rsidP="00452CEE">
      <w:pPr>
        <w:spacing w:after="0" w:line="240" w:lineRule="auto"/>
        <w:textAlignment w:val="baseline"/>
        <w:rPr>
          <w:rFonts w:ascii="Palatino Linotype" w:hAnsi="Palatino Linotype" w:cs="Calibri"/>
          <w:b/>
          <w:i/>
          <w:color w:val="FF0000"/>
          <w:sz w:val="20"/>
          <w:szCs w:val="20"/>
        </w:rPr>
      </w:pPr>
    </w:p>
    <w:p w14:paraId="14FDBF10" w14:textId="395AD010" w:rsidR="002A4913" w:rsidRPr="002A4913" w:rsidRDefault="002A4913" w:rsidP="00452CEE">
      <w:pPr>
        <w:spacing w:after="0" w:line="240" w:lineRule="auto"/>
        <w:textAlignment w:val="baseline"/>
        <w:rPr>
          <w:rFonts w:ascii="Palatino Linotype" w:hAnsi="Palatino Linotype" w:cs="Calibri"/>
          <w:b/>
          <w:i/>
          <w:color w:val="FF0000"/>
          <w:sz w:val="20"/>
          <w:szCs w:val="20"/>
        </w:rPr>
      </w:pPr>
    </w:p>
    <w:p w14:paraId="7CC2C700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Cs w:val="20"/>
        </w:rPr>
      </w:pPr>
      <w:r w:rsidRPr="002A4913">
        <w:rPr>
          <w:rFonts w:ascii="Palatino Linotype" w:eastAsia="Times New Roman" w:hAnsi="Palatino Linotype" w:cs="Times New Roman"/>
          <w:b/>
          <w:szCs w:val="20"/>
        </w:rPr>
        <w:t>Section 4.1.2 Timeline Requirements</w:t>
      </w:r>
    </w:p>
    <w:p w14:paraId="57594BE0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  <w:r w:rsidRPr="002A4913">
        <w:rPr>
          <w:rStyle w:val="normaltextrun"/>
          <w:rFonts w:ascii="Palatino Linotype" w:hAnsi="Palatino Linotype"/>
          <w:color w:val="000000"/>
          <w:sz w:val="20"/>
          <w:szCs w:val="20"/>
          <w:shd w:val="clear" w:color="auto" w:fill="FFFFFF"/>
        </w:rPr>
        <w:t xml:space="preserve">PLs shall notify the SLAC SM/CAM within one week after determination of a nonconformance </w:t>
      </w:r>
      <w:r w:rsidRPr="002A4913">
        <w:rPr>
          <w:rStyle w:val="normaltextrun"/>
          <w:rFonts w:ascii="Palatino Linotype" w:hAnsi="Palatino Linotype"/>
          <w:b/>
          <w:i/>
          <w:color w:val="000000"/>
          <w:sz w:val="20"/>
          <w:szCs w:val="20"/>
          <w:highlight w:val="yellow"/>
          <w:u w:val="single"/>
          <w:shd w:val="clear" w:color="auto" w:fill="FFFFFF"/>
        </w:rPr>
        <w:t>when items fail to meet the performance requirements in the specifications and/or acceptance requirement documents or when mechanical interfaces will affect the form, fit, function of SLAC installation activities</w:t>
      </w:r>
      <w:r w:rsidRPr="002A4913">
        <w:rPr>
          <w:rStyle w:val="normaltextrun"/>
          <w:rFonts w:ascii="Palatino Linotype" w:hAnsi="Palatino Linotype"/>
          <w:color w:val="000000"/>
          <w:sz w:val="20"/>
          <w:szCs w:val="20"/>
          <w:highlight w:val="yellow"/>
          <w:shd w:val="clear" w:color="auto" w:fill="FFFFFF"/>
        </w:rPr>
        <w:t>.</w:t>
      </w:r>
      <w:r w:rsidRPr="002A4913">
        <w:rPr>
          <w:rStyle w:val="eop"/>
          <w:rFonts w:ascii="Palatino Linotype" w:hAnsi="Palatino Linotype"/>
          <w:color w:val="000000"/>
          <w:sz w:val="20"/>
          <w:szCs w:val="20"/>
          <w:shd w:val="clear" w:color="auto" w:fill="FFFFFF"/>
        </w:rPr>
        <w:t> </w:t>
      </w:r>
    </w:p>
    <w:p w14:paraId="17C0BA67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57BBB5B8" w14:textId="77777777" w:rsidR="00B54464" w:rsidRPr="002A4913" w:rsidRDefault="00B54464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Cs w:val="20"/>
        </w:rPr>
      </w:pPr>
      <w:r w:rsidRPr="002A4913">
        <w:rPr>
          <w:rFonts w:ascii="Palatino Linotype" w:hAnsi="Palatino Linotype" w:cs="Calibri"/>
          <w:b/>
          <w:i/>
          <w:color w:val="FF0000"/>
          <w:szCs w:val="20"/>
        </w:rPr>
        <w:t>SLAC must approve some NCRs before closure. They want notification within one week of us determining it’s a nonconformance. Evidence (e.g. PDF of email) should be uploaded to our NCR.</w:t>
      </w:r>
    </w:p>
    <w:p w14:paraId="166461CB" w14:textId="0822993F" w:rsidR="00452CEE" w:rsidRP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Cs w:val="20"/>
        </w:rPr>
      </w:pPr>
      <w:r w:rsidRPr="002A4913">
        <w:rPr>
          <w:rFonts w:ascii="Palatino Linotype" w:eastAsia="Times New Roman" w:hAnsi="Palatino Linotype" w:cs="Times New Roman"/>
          <w:b/>
          <w:szCs w:val="20"/>
        </w:rPr>
        <w:lastRenderedPageBreak/>
        <w:t xml:space="preserve">Section </w:t>
      </w:r>
      <w:r w:rsidR="00452CEE" w:rsidRPr="002A4913">
        <w:rPr>
          <w:rFonts w:ascii="Palatino Linotype" w:eastAsia="Times New Roman" w:hAnsi="Palatino Linotype" w:cs="Times New Roman"/>
          <w:b/>
          <w:szCs w:val="20"/>
        </w:rPr>
        <w:t>4.1.3 Nonconformance Review Team</w:t>
      </w:r>
    </w:p>
    <w:p w14:paraId="240858DA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Segoe UI"/>
          <w:sz w:val="20"/>
          <w:szCs w:val="20"/>
        </w:rPr>
      </w:pPr>
      <w:r w:rsidRPr="002A4913">
        <w:rPr>
          <w:rFonts w:ascii="Palatino Linotype" w:eastAsia="Times New Roman" w:hAnsi="Palatino Linotype" w:cs="Segoe UI"/>
          <w:sz w:val="20"/>
          <w:szCs w:val="20"/>
        </w:rPr>
        <w:t>SLAC SM/CAM shall involve in the review and approval of dispositions of nonconformances </w:t>
      </w:r>
      <w:r w:rsidRPr="002A4913">
        <w:rPr>
          <w:rFonts w:ascii="Palatino Linotype" w:eastAsia="Times New Roman" w:hAnsi="Palatino Linotype" w:cs="Segoe UI"/>
          <w:color w:val="000000"/>
          <w:sz w:val="20"/>
          <w:szCs w:val="20"/>
        </w:rPr>
        <w:t>when items fail to meet the performance requirements in the specifications and/or acceptance requirement documents or when mechanical interfaces will affect the form, fit, function of SLAC installation activities. </w:t>
      </w:r>
    </w:p>
    <w:p w14:paraId="6F456E32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Segoe UI"/>
          <w:sz w:val="20"/>
          <w:szCs w:val="20"/>
        </w:rPr>
      </w:pPr>
      <w:r w:rsidRPr="002A4913">
        <w:rPr>
          <w:rFonts w:ascii="Palatino Linotype" w:eastAsia="Times New Roman" w:hAnsi="Palatino Linotype" w:cs="Segoe UI"/>
          <w:sz w:val="20"/>
          <w:szCs w:val="20"/>
        </w:rPr>
        <w:t>SLAC Nonconformance Review Team shall consist of various members with approval authority as shown: </w:t>
      </w:r>
    </w:p>
    <w:tbl>
      <w:tblPr>
        <w:tblW w:w="0" w:type="dxa"/>
        <w:tblInd w:w="-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831"/>
        <w:gridCol w:w="832"/>
        <w:gridCol w:w="832"/>
        <w:gridCol w:w="1002"/>
        <w:gridCol w:w="832"/>
        <w:gridCol w:w="832"/>
        <w:gridCol w:w="832"/>
        <w:gridCol w:w="901"/>
        <w:gridCol w:w="901"/>
        <w:gridCol w:w="901"/>
      </w:tblGrid>
      <w:tr w:rsidR="00452CEE" w:rsidRPr="002A4913" w14:paraId="2C08C5CE" w14:textId="77777777" w:rsidTr="00452CEE">
        <w:trPr>
          <w:trHeight w:val="525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A16D8C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NCR Category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47797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CAM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9CACA1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System Manager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976EFC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Technical Director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992DD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System Engineering Manager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3EF8A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ES&amp;H Manager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99775E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QA Manager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54344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QA Engineer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253A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SME as applicable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11B18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SOTR as applicable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793C3E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</w:rPr>
              <w:t>RM/RE as applicable</w:t>
            </w: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</w:tr>
      <w:tr w:rsidR="00452CEE" w:rsidRPr="002A4913" w14:paraId="52D580A2" w14:textId="77777777" w:rsidTr="00452CEE">
        <w:trPr>
          <w:trHeight w:val="30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93AE9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Safety Related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75FCFE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77A23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981C08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78543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4B999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90EBB6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AF89BE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43C0E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0ACA5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BFB54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</w:tr>
      <w:tr w:rsidR="00452CEE" w:rsidRPr="002A4913" w14:paraId="2366B244" w14:textId="77777777" w:rsidTr="00452CEE">
        <w:trPr>
          <w:trHeight w:val="300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B4ACC1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S/CI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544327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A0FD3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017B4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A289C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4C8C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86267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B3BB8D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EC832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2F3F2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152CDC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</w:tr>
      <w:tr w:rsidR="00452CEE" w:rsidRPr="002A4913" w14:paraId="3B2DA5A2" w14:textId="77777777" w:rsidTr="00452CEE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1A9F8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QL-1/major procurement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72606E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A2924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900F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83C4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E7E56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188B3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6249A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6FF3C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EA9217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F34869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</w:tr>
      <w:tr w:rsidR="00452CEE" w:rsidRPr="002A4913" w14:paraId="79BACE9D" w14:textId="77777777" w:rsidTr="00452CEE">
        <w:trPr>
          <w:trHeight w:val="52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38083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QL-2/significant procurement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15545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50FF9F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B6282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AEF6DB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12365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F7D300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6683C2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9A4BB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91926B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AAEFB5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</w:tr>
      <w:tr w:rsidR="00452CEE" w:rsidRPr="002A4913" w14:paraId="5406AD0B" w14:textId="77777777" w:rsidTr="00452CEE">
        <w:trPr>
          <w:trHeight w:val="345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55167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QL-3/minor procurement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609358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14FEA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639FA5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05C67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159EA1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735DB4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DEACB7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4B8A8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7CC624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A4D5D" w14:textId="77777777" w:rsidR="00452CEE" w:rsidRPr="002A4913" w:rsidRDefault="00452CEE" w:rsidP="00452CEE">
            <w:pPr>
              <w:spacing w:after="0" w:line="240" w:lineRule="auto"/>
              <w:textAlignment w:val="baseline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  <w:r w:rsidRPr="002A4913">
              <w:rPr>
                <w:rFonts w:ascii="Palatino Linotype" w:eastAsia="Times New Roman" w:hAnsi="Palatino Linotype" w:cs="Times New Roman"/>
                <w:sz w:val="20"/>
                <w:szCs w:val="20"/>
              </w:rPr>
              <w:t>Approves </w:t>
            </w:r>
          </w:p>
        </w:tc>
      </w:tr>
    </w:tbl>
    <w:p w14:paraId="1F296B0C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12FC5BFE" w14:textId="77777777" w:rsidR="001A3671" w:rsidRPr="002A4913" w:rsidRDefault="001A3671" w:rsidP="001A3671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Cs w:val="20"/>
        </w:rPr>
      </w:pPr>
      <w:r w:rsidRPr="002A4913">
        <w:rPr>
          <w:rFonts w:ascii="Palatino Linotype" w:hAnsi="Palatino Linotype" w:cs="Calibri"/>
          <w:b/>
          <w:i/>
          <w:color w:val="FF0000"/>
          <w:szCs w:val="20"/>
        </w:rPr>
        <w:t>SLAC’s method/requirements for reviewing NCRs from SLAC or Partner Lab.</w:t>
      </w:r>
    </w:p>
    <w:p w14:paraId="7661CE53" w14:textId="77777777" w:rsidR="00B54464" w:rsidRPr="002A4913" w:rsidRDefault="00B54464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1316491" w14:textId="77777777" w:rsidR="001A3671" w:rsidRPr="002A4913" w:rsidRDefault="001A3671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1EEBF57B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Cs w:val="20"/>
        </w:rPr>
      </w:pPr>
      <w:r w:rsidRPr="002A4913">
        <w:rPr>
          <w:rFonts w:ascii="Palatino Linotype" w:eastAsia="Times New Roman" w:hAnsi="Palatino Linotype" w:cs="Times New Roman"/>
          <w:b/>
          <w:szCs w:val="20"/>
        </w:rPr>
        <w:t>4.1.4 Nonconformance Analysis and Reporting</w:t>
      </w:r>
    </w:p>
    <w:p w14:paraId="5D352B40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  <w:r w:rsidRPr="002A4913"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  <w:t>PLs shall update the project on nonconformance status on a monthly basis or when is requested.</w:t>
      </w:r>
    </w:p>
    <w:p w14:paraId="5BC91F99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DCE1942" w14:textId="77777777" w:rsidR="00B54464" w:rsidRPr="002A4913" w:rsidRDefault="00B54464" w:rsidP="00452CEE">
      <w:pPr>
        <w:spacing w:after="0" w:line="240" w:lineRule="auto"/>
        <w:textAlignment w:val="baseline"/>
        <w:rPr>
          <w:rFonts w:ascii="Palatino Linotype" w:hAnsi="Palatino Linotype" w:cs="Calibri"/>
          <w:b/>
          <w:i/>
          <w:color w:val="FF0000"/>
          <w:szCs w:val="20"/>
        </w:rPr>
      </w:pPr>
      <w:r w:rsidRPr="002A4913">
        <w:rPr>
          <w:rFonts w:ascii="Palatino Linotype" w:hAnsi="Palatino Linotype" w:cs="Calibri"/>
          <w:b/>
          <w:i/>
          <w:color w:val="FF0000"/>
          <w:szCs w:val="20"/>
        </w:rPr>
        <w:t>SLAC wants monthly summary data. I will send spreadsheet and/or work with Pansophy to provide a repo</w:t>
      </w:r>
      <w:bookmarkStart w:id="0" w:name="_GoBack"/>
      <w:bookmarkEnd w:id="0"/>
      <w:r w:rsidRPr="002A4913">
        <w:rPr>
          <w:rFonts w:ascii="Palatino Linotype" w:hAnsi="Palatino Linotype" w:cs="Calibri"/>
          <w:b/>
          <w:i/>
          <w:color w:val="FF0000"/>
          <w:szCs w:val="20"/>
        </w:rPr>
        <w:t>rt.</w:t>
      </w:r>
    </w:p>
    <w:p w14:paraId="0761D7F0" w14:textId="04C9CE70" w:rsidR="001A3671" w:rsidRDefault="001A3671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D0157DB" w14:textId="0AAA75D6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8773908" w14:textId="5B611979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371B1751" w14:textId="13290EBA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2926B99B" w14:textId="4CBB0770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3E192C8E" w14:textId="63AAD933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2C5B686C" w14:textId="7F449BBC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061777D5" w14:textId="627D0AB2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72103FE1" w14:textId="4E41A568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77365DD" w14:textId="152F3766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F6D0684" w14:textId="41594346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1876B35E" w14:textId="5E45BC85" w:rsid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345E27A3" w14:textId="77777777" w:rsidR="002A4913" w:rsidRPr="002A4913" w:rsidRDefault="002A4913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FA5B7CD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szCs w:val="20"/>
        </w:rPr>
      </w:pPr>
      <w:r w:rsidRPr="002A4913">
        <w:rPr>
          <w:rFonts w:ascii="Palatino Linotype" w:eastAsia="Times New Roman" w:hAnsi="Palatino Linotype" w:cs="Times New Roman"/>
          <w:b/>
          <w:szCs w:val="20"/>
        </w:rPr>
        <w:lastRenderedPageBreak/>
        <w:t>Section 5 Roles and Responsibilities</w:t>
      </w:r>
    </w:p>
    <w:p w14:paraId="2389145B" w14:textId="77777777" w:rsidR="00452CEE" w:rsidRPr="002A4913" w:rsidRDefault="00452CEE" w:rsidP="00452CEE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  <w:r w:rsidRPr="002A4913">
        <w:rPr>
          <w:rFonts w:ascii="Palatino Linotype" w:eastAsia="Times New Roman" w:hAnsi="Palatino Linotype" w:cs="Times New Roman"/>
          <w:sz w:val="20"/>
          <w:szCs w:val="20"/>
        </w:rPr>
        <w:t>PL QAR is responsible for: </w:t>
      </w:r>
    </w:p>
    <w:p w14:paraId="5CDEBB94" w14:textId="77777777" w:rsidR="00452CEE" w:rsidRPr="002A4913" w:rsidRDefault="00452CEE" w:rsidP="00452CE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2A4913">
        <w:rPr>
          <w:rFonts w:ascii="Palatino Linotype" w:eastAsia="Times New Roman" w:hAnsi="Palatino Linotype" w:cs="Calibri"/>
          <w:color w:val="000000"/>
          <w:sz w:val="20"/>
          <w:szCs w:val="20"/>
        </w:rPr>
        <w:t>managing the NCR process at PLs and their suppliers/subcontractors; </w:t>
      </w:r>
    </w:p>
    <w:p w14:paraId="67CEF268" w14:textId="77777777" w:rsidR="00452CEE" w:rsidRPr="002A4913" w:rsidRDefault="00452CEE" w:rsidP="00452CE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2A4913">
        <w:rPr>
          <w:rFonts w:ascii="Palatino Linotype" w:eastAsia="Times New Roman" w:hAnsi="Palatino Linotype" w:cs="Calibri"/>
          <w:color w:val="000000"/>
          <w:sz w:val="20"/>
          <w:szCs w:val="20"/>
        </w:rPr>
        <w:t>transferring NC data to SLAC (Section 4.1.1)</w:t>
      </w:r>
    </w:p>
    <w:p w14:paraId="0936713A" w14:textId="77777777" w:rsidR="00452CEE" w:rsidRPr="002A4913" w:rsidRDefault="00452CEE" w:rsidP="00452CE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2A4913">
        <w:rPr>
          <w:rFonts w:ascii="Palatino Linotype" w:eastAsia="Times New Roman" w:hAnsi="Palatino Linotype" w:cs="Calibri"/>
          <w:color w:val="000000"/>
          <w:sz w:val="20"/>
          <w:szCs w:val="20"/>
        </w:rPr>
        <w:t>Updating the project on conformance status at PLs on a regular basis or when is requested (Section 4.1.4)</w:t>
      </w:r>
    </w:p>
    <w:p w14:paraId="08A271B3" w14:textId="77777777" w:rsidR="00452CEE" w:rsidRPr="002A4913" w:rsidRDefault="00452CEE" w:rsidP="00452CEE">
      <w:pPr>
        <w:spacing w:after="0" w:line="240" w:lineRule="auto"/>
        <w:jc w:val="both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  <w:r w:rsidRPr="002A4913">
        <w:rPr>
          <w:rFonts w:ascii="Palatino Linotype" w:eastAsia="Times New Roman" w:hAnsi="Palatino Linotype" w:cs="Times New Roman"/>
          <w:color w:val="000000"/>
          <w:sz w:val="20"/>
          <w:szCs w:val="20"/>
        </w:rPr>
        <w:t>PL STL is responsible for: </w:t>
      </w:r>
    </w:p>
    <w:p w14:paraId="5AF09945" w14:textId="77777777" w:rsidR="00452CEE" w:rsidRPr="002A4913" w:rsidRDefault="00452CEE" w:rsidP="00452CE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2A4913">
        <w:rPr>
          <w:rFonts w:ascii="Palatino Linotype" w:eastAsia="Times New Roman" w:hAnsi="Palatino Linotype" w:cs="Calibri"/>
          <w:color w:val="000000"/>
          <w:sz w:val="20"/>
          <w:szCs w:val="20"/>
        </w:rPr>
        <w:t>ensuring the notification of PL’s nonconformances to SLAC SM/CAM at a required timeline (</w:t>
      </w:r>
      <w:hyperlink r:id="rId10" w:tgtFrame="_blank" w:history="1">
        <w:r w:rsidRPr="002A4913">
          <w:rPr>
            <w:rFonts w:ascii="Palatino Linotype" w:eastAsia="Times New Roman" w:hAnsi="Palatino Linotype" w:cs="Calibri"/>
            <w:color w:val="000000"/>
            <w:sz w:val="20"/>
            <w:szCs w:val="20"/>
          </w:rPr>
          <w:t>Section 4.1.2</w:t>
        </w:r>
      </w:hyperlink>
      <w:r w:rsidRPr="002A4913">
        <w:rPr>
          <w:rFonts w:ascii="Palatino Linotype" w:eastAsia="Times New Roman" w:hAnsi="Palatino Linotype" w:cs="Calibri"/>
          <w:color w:val="000000"/>
          <w:sz w:val="20"/>
          <w:szCs w:val="20"/>
        </w:rPr>
        <w:t>); </w:t>
      </w:r>
    </w:p>
    <w:p w14:paraId="5B34E393" w14:textId="77777777" w:rsidR="00452CEE" w:rsidRPr="002A4913" w:rsidRDefault="00452CEE" w:rsidP="00452CE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color w:val="000000"/>
          <w:sz w:val="20"/>
          <w:szCs w:val="20"/>
        </w:rPr>
      </w:pPr>
      <w:r w:rsidRPr="002A4913">
        <w:rPr>
          <w:rFonts w:ascii="Palatino Linotype" w:eastAsia="Times New Roman" w:hAnsi="Palatino Linotype" w:cs="Calibri"/>
          <w:color w:val="000000"/>
          <w:sz w:val="20"/>
          <w:szCs w:val="20"/>
        </w:rPr>
        <w:t>ensuring the engaging of SLAC SM/CAM on the review and approval of nonconformance disposition (</w:t>
      </w:r>
      <w:hyperlink r:id="rId11" w:tgtFrame="_blank" w:history="1">
        <w:r w:rsidRPr="002A4913">
          <w:rPr>
            <w:rFonts w:ascii="Palatino Linotype" w:eastAsia="Times New Roman" w:hAnsi="Palatino Linotype" w:cs="Calibri"/>
            <w:color w:val="000000"/>
            <w:sz w:val="20"/>
            <w:szCs w:val="20"/>
          </w:rPr>
          <w:t>Section 4.1.3</w:t>
        </w:r>
      </w:hyperlink>
      <w:r w:rsidRPr="002A4913">
        <w:rPr>
          <w:rFonts w:ascii="Palatino Linotype" w:eastAsia="Times New Roman" w:hAnsi="Palatino Linotype" w:cs="Calibri"/>
          <w:color w:val="000000"/>
          <w:sz w:val="20"/>
          <w:szCs w:val="20"/>
        </w:rPr>
        <w:t>). </w:t>
      </w:r>
    </w:p>
    <w:p w14:paraId="170B73BE" w14:textId="77777777" w:rsidR="00C677EF" w:rsidRPr="002A4913" w:rsidRDefault="00C677EF" w:rsidP="002A4913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2D6404BC" w14:textId="0C5E0CE0" w:rsidR="001A3671" w:rsidRPr="002A4913" w:rsidRDefault="001A3671" w:rsidP="002A4913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Cs w:val="20"/>
        </w:rPr>
      </w:pPr>
      <w:r w:rsidRPr="002A4913">
        <w:rPr>
          <w:rFonts w:ascii="Palatino Linotype" w:eastAsia="Times New Roman" w:hAnsi="Palatino Linotype" w:cs="Times New Roman"/>
          <w:b/>
          <w:i/>
          <w:color w:val="FF0000"/>
          <w:szCs w:val="20"/>
        </w:rPr>
        <w:t>Summary of responsibilities listed above.</w:t>
      </w:r>
    </w:p>
    <w:p w14:paraId="0F20A8B9" w14:textId="4575954C" w:rsidR="002A4913" w:rsidRPr="002A4913" w:rsidRDefault="002A4913" w:rsidP="002A4913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4AED6C29" w14:textId="77777777" w:rsidR="002A4913" w:rsidRPr="002A4913" w:rsidRDefault="002A4913" w:rsidP="002A4913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sz w:val="20"/>
          <w:szCs w:val="20"/>
        </w:rPr>
      </w:pPr>
    </w:p>
    <w:p w14:paraId="786D0BCF" w14:textId="77777777" w:rsidR="00452CEE" w:rsidRPr="002A4913" w:rsidRDefault="00452CEE">
      <w:pPr>
        <w:rPr>
          <w:rFonts w:ascii="Palatino Linotype" w:hAnsi="Palatino Linotype"/>
          <w:b/>
          <w:sz w:val="20"/>
          <w:szCs w:val="20"/>
        </w:rPr>
      </w:pPr>
      <w:r w:rsidRPr="002A4913">
        <w:rPr>
          <w:rFonts w:ascii="Palatino Linotype" w:hAnsi="Palatino Linotype"/>
          <w:b/>
          <w:sz w:val="20"/>
          <w:szCs w:val="20"/>
        </w:rPr>
        <w:t>SLAC NCR Dispositions</w:t>
      </w:r>
    </w:p>
    <w:p w14:paraId="0A6AF8F1" w14:textId="77777777" w:rsidR="00452CEE" w:rsidRPr="002A4913" w:rsidRDefault="00452CEE" w:rsidP="001A3671">
      <w:pPr>
        <w:pStyle w:val="ListParagraph"/>
        <w:numPr>
          <w:ilvl w:val="0"/>
          <w:numId w:val="9"/>
        </w:numPr>
        <w:rPr>
          <w:rFonts w:ascii="Palatino Linotype" w:hAnsi="Palatino Linotype"/>
          <w:sz w:val="20"/>
          <w:szCs w:val="20"/>
        </w:rPr>
      </w:pPr>
      <w:r w:rsidRPr="002A4913">
        <w:rPr>
          <w:rFonts w:ascii="Palatino Linotype" w:hAnsi="Palatino Linotype"/>
          <w:sz w:val="20"/>
          <w:szCs w:val="20"/>
        </w:rPr>
        <w:t>Single disposition</w:t>
      </w:r>
      <w:r w:rsidR="001A3671" w:rsidRPr="002A4913">
        <w:rPr>
          <w:rFonts w:ascii="Palatino Linotype" w:hAnsi="Palatino Linotype"/>
          <w:sz w:val="20"/>
          <w:szCs w:val="20"/>
        </w:rPr>
        <w:t xml:space="preserve"> for an NCR</w:t>
      </w:r>
    </w:p>
    <w:p w14:paraId="44DCE907" w14:textId="77777777" w:rsidR="001A3671" w:rsidRPr="002A4913" w:rsidRDefault="001A3671" w:rsidP="001A3671">
      <w:pPr>
        <w:pStyle w:val="ListParagraph"/>
        <w:rPr>
          <w:rFonts w:ascii="Palatino Linotype" w:hAnsi="Palatino Linotype"/>
          <w:sz w:val="20"/>
          <w:szCs w:val="20"/>
        </w:rPr>
      </w:pPr>
    </w:p>
    <w:p w14:paraId="69E48336" w14:textId="524DF1B6" w:rsidR="00452CEE" w:rsidRPr="002A4913" w:rsidRDefault="00452CEE" w:rsidP="001A3671">
      <w:pPr>
        <w:pStyle w:val="ListParagraph"/>
        <w:numPr>
          <w:ilvl w:val="0"/>
          <w:numId w:val="9"/>
        </w:numPr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</w:pPr>
      <w:r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Use As-Is</w:t>
      </w:r>
      <w:r w:rsidR="00B54464"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.</w:t>
      </w:r>
      <w:r w:rsidR="00B54464" w:rsidRPr="002A4913"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  <w:t xml:space="preserve"> A nonconforming item is acceptable with a technical justification.</w:t>
      </w:r>
    </w:p>
    <w:p w14:paraId="7E8AAE5E" w14:textId="77777777" w:rsidR="00B54464" w:rsidRPr="002A4913" w:rsidRDefault="00452CEE" w:rsidP="001A3671">
      <w:pPr>
        <w:pStyle w:val="ListParagraph"/>
        <w:numPr>
          <w:ilvl w:val="0"/>
          <w:numId w:val="9"/>
        </w:numPr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</w:pPr>
      <w:r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Repair</w:t>
      </w:r>
      <w:r w:rsidR="00B54464"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.</w:t>
      </w:r>
      <w:r w:rsidR="00B54464" w:rsidRPr="002A4913"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  <w:t xml:space="preserve"> A nonconforming/nonfunctioning item is repaired to be functioning, but still remains nonconforming to the original requirements. A technical justification is required.</w:t>
      </w:r>
    </w:p>
    <w:p w14:paraId="295040BD" w14:textId="77777777" w:rsidR="00B54464" w:rsidRPr="002A4913" w:rsidRDefault="00452CEE" w:rsidP="001A3671">
      <w:pPr>
        <w:pStyle w:val="ListParagraph"/>
        <w:numPr>
          <w:ilvl w:val="0"/>
          <w:numId w:val="9"/>
        </w:numPr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</w:pPr>
      <w:r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Rework</w:t>
      </w:r>
      <w:r w:rsidR="00B54464"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.</w:t>
      </w:r>
      <w:r w:rsidR="00B54464" w:rsidRPr="002A4913"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  <w:t xml:space="preserve"> A nonconforming item is made to conform to the original requirements. No technical justification is required.</w:t>
      </w:r>
    </w:p>
    <w:p w14:paraId="06D05E6B" w14:textId="535DEB3E" w:rsidR="00452CEE" w:rsidRPr="002A4913" w:rsidRDefault="00452CEE" w:rsidP="001A3671">
      <w:pPr>
        <w:pStyle w:val="ListParagraph"/>
        <w:numPr>
          <w:ilvl w:val="0"/>
          <w:numId w:val="9"/>
        </w:numPr>
        <w:rPr>
          <w:rStyle w:val="normaltextrun"/>
          <w:rFonts w:ascii="Palatino Linotype" w:hAnsi="Palatino Linotype"/>
          <w:sz w:val="20"/>
          <w:szCs w:val="20"/>
        </w:rPr>
      </w:pPr>
      <w:r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Reject</w:t>
      </w:r>
      <w:r w:rsidR="00B54464" w:rsidRPr="002A4913">
        <w:rPr>
          <w:rStyle w:val="normaltextrun"/>
          <w:rFonts w:ascii="Palatino Linotype" w:hAnsi="Palatino Linotype"/>
          <w:b/>
          <w:color w:val="000000"/>
          <w:sz w:val="20"/>
          <w:szCs w:val="20"/>
          <w:bdr w:val="none" w:sz="0" w:space="0" w:color="auto" w:frame="1"/>
        </w:rPr>
        <w:t>.</w:t>
      </w:r>
      <w:r w:rsidR="00B54464" w:rsidRPr="002A4913">
        <w:rPr>
          <w:rStyle w:val="normaltextrun"/>
          <w:rFonts w:ascii="Palatino Linotype" w:hAnsi="Palatino Linotype"/>
          <w:color w:val="000000"/>
          <w:sz w:val="20"/>
          <w:szCs w:val="20"/>
          <w:bdr w:val="none" w:sz="0" w:space="0" w:color="auto" w:frame="1"/>
        </w:rPr>
        <w:t xml:space="preserve"> A nonconforming item is not used and must be scrapped, returned to vendor, used for training purposes only…etc.</w:t>
      </w:r>
    </w:p>
    <w:p w14:paraId="591DDD1E" w14:textId="6A00557E" w:rsidR="002A4913" w:rsidRPr="002A4913" w:rsidRDefault="002A4913" w:rsidP="002A4913">
      <w:pPr>
        <w:spacing w:after="0" w:line="240" w:lineRule="auto"/>
        <w:textAlignment w:val="baseline"/>
        <w:rPr>
          <w:rFonts w:ascii="Palatino Linotype" w:eastAsia="Times New Roman" w:hAnsi="Palatino Linotype" w:cs="Times New Roman"/>
          <w:b/>
          <w:i/>
          <w:color w:val="FF0000"/>
          <w:szCs w:val="20"/>
        </w:rPr>
      </w:pPr>
      <w:r w:rsidRPr="002A4913">
        <w:rPr>
          <w:rFonts w:ascii="Palatino Linotype" w:eastAsia="Times New Roman" w:hAnsi="Palatino Linotype" w:cs="Times New Roman"/>
          <w:b/>
          <w:i/>
          <w:color w:val="FF0000"/>
          <w:szCs w:val="20"/>
        </w:rPr>
        <w:t>SLAC defines their terms a little differently than JLab. Ensure common understanding when talking with your counterparts.</w:t>
      </w:r>
    </w:p>
    <w:sectPr w:rsidR="002A4913" w:rsidRPr="002A4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E6AC5"/>
    <w:multiLevelType w:val="hybridMultilevel"/>
    <w:tmpl w:val="9BF0AD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E213D"/>
    <w:multiLevelType w:val="hybridMultilevel"/>
    <w:tmpl w:val="B2B207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5F58"/>
    <w:multiLevelType w:val="multilevel"/>
    <w:tmpl w:val="0000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6A4857"/>
    <w:multiLevelType w:val="hybridMultilevel"/>
    <w:tmpl w:val="0292F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F1600E"/>
    <w:multiLevelType w:val="multilevel"/>
    <w:tmpl w:val="87CC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D4933"/>
    <w:multiLevelType w:val="multilevel"/>
    <w:tmpl w:val="E35E1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0453E"/>
    <w:multiLevelType w:val="multilevel"/>
    <w:tmpl w:val="4A4E1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F5B65"/>
    <w:multiLevelType w:val="hybridMultilevel"/>
    <w:tmpl w:val="047A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C5981"/>
    <w:multiLevelType w:val="multilevel"/>
    <w:tmpl w:val="CBD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EE"/>
    <w:rsid w:val="001A3671"/>
    <w:rsid w:val="002A4913"/>
    <w:rsid w:val="00452CEE"/>
    <w:rsid w:val="008F2565"/>
    <w:rsid w:val="00915E04"/>
    <w:rsid w:val="00B54464"/>
    <w:rsid w:val="00C677EF"/>
    <w:rsid w:val="00D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2858"/>
  <w15:chartTrackingRefBased/>
  <w15:docId w15:val="{95D6D1D7-0AB8-41E7-9657-F1E4DC73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5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52CEE"/>
  </w:style>
  <w:style w:type="character" w:customStyle="1" w:styleId="eop">
    <w:name w:val="eop"/>
    <w:basedOn w:val="DefaultParagraphFont"/>
    <w:rsid w:val="00452CEE"/>
  </w:style>
  <w:style w:type="character" w:styleId="CommentReference">
    <w:name w:val="annotation reference"/>
    <w:basedOn w:val="DefaultParagraphFont"/>
    <w:uiPriority w:val="99"/>
    <w:semiHidden/>
    <w:unhideWhenUsed/>
    <w:rsid w:val="00452C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C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C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C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C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6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74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5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6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5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8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8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0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4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3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2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bookmark://_Nonconformance_Review_Team" TargetMode="External"/><Relationship Id="rId5" Type="http://schemas.openxmlformats.org/officeDocument/2006/relationships/numbering" Target="numbering.xml"/><Relationship Id="rId10" Type="http://schemas.openxmlformats.org/officeDocument/2006/relationships/hyperlink" Target="bookmark://_Timeline_Requirement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lac.sharepoint.com/:w:/r/sites/lcls/lcls-2-he/wd/Quality%20Assurance/LCLSII-HE-1.1-QA-0232.docx?d=w5bdd805d1ba34487893b56ffdc4b27fa&amp;csf=1&amp;web=1&amp;e=nUXoB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160270AEA34DAC01E53D84581D69" ma:contentTypeVersion="10" ma:contentTypeDescription="Create a new document." ma:contentTypeScope="" ma:versionID="2b4582ba806eee4eb459b857733f2463">
  <xsd:schema xmlns:xsd="http://www.w3.org/2001/XMLSchema" xmlns:xs="http://www.w3.org/2001/XMLSchema" xmlns:p="http://schemas.microsoft.com/office/2006/metadata/properties" xmlns:ns3="5a9ee274-fd4b-4aaf-9afc-9780b7d42711" xmlns:ns4="07ed7a2a-6658-4ca4-a2e2-d9d9efa9b696" targetNamespace="http://schemas.microsoft.com/office/2006/metadata/properties" ma:root="true" ma:fieldsID="7cf8d041e9c1d200423bceac913c08fb" ns3:_="" ns4:_="">
    <xsd:import namespace="5a9ee274-fd4b-4aaf-9afc-9780b7d42711"/>
    <xsd:import namespace="07ed7a2a-6658-4ca4-a2e2-d9d9efa9b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e274-fd4b-4aaf-9afc-9780b7d42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7a2a-6658-4ca4-a2e2-d9d9efa9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F787-239A-40F6-8423-64093E9F407D}">
  <ds:schemaRefs>
    <ds:schemaRef ds:uri="http://schemas.microsoft.com/office/2006/metadata/properties"/>
    <ds:schemaRef ds:uri="5a9ee274-fd4b-4aaf-9afc-9780b7d4271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7ed7a2a-6658-4ca4-a2e2-d9d9efa9b69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1E0872-2124-47CC-92D3-6FF1B3303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69067-D3A9-474D-A1B2-675FE87CD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e274-fd4b-4aaf-9afc-9780b7d42711"/>
    <ds:schemaRef ds:uri="07ed7a2a-6658-4ca4-a2e2-d9d9efa9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1E58E7-86B9-4E69-84C5-D3530E95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Harris</dc:creator>
  <cp:keywords/>
  <dc:description/>
  <cp:lastModifiedBy>Jacob Harris</cp:lastModifiedBy>
  <cp:revision>3</cp:revision>
  <dcterms:created xsi:type="dcterms:W3CDTF">2021-03-02T14:24:00Z</dcterms:created>
  <dcterms:modified xsi:type="dcterms:W3CDTF">2021-03-02T16:07:00Z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0x010100ABF7160270AEA34DAC01E53D84581D69</vt:lpwstr>
  </property>
</Properties>
</file>