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29" w:rsidRDefault="00986629" w:rsidP="00583381">
      <w:pPr>
        <w:pStyle w:val="Heading1"/>
      </w:pPr>
      <w:bookmarkStart w:id="0" w:name="_GoBack"/>
      <w:bookmarkEnd w:id="0"/>
      <w:r>
        <w:t xml:space="preserve">Gold foil thickness </w:t>
      </w:r>
      <w:r w:rsidR="00FA62C5">
        <w:t>measurement</w:t>
      </w:r>
    </w:p>
    <w:p w:rsidR="00986629" w:rsidRDefault="00583381" w:rsidP="00583381">
      <w:pPr>
        <w:pStyle w:val="Heading2"/>
      </w:pPr>
      <w:r>
        <w:t>Sample preparation</w:t>
      </w:r>
    </w:p>
    <w:p w:rsidR="00434FC1" w:rsidRDefault="00D37DE3">
      <w:r>
        <w:t xml:space="preserve">Gold foil thickness was measured using a </w:t>
      </w:r>
      <w:r w:rsidR="0089498D">
        <w:t>field emission scanning electron microscope (</w:t>
      </w:r>
      <w:r>
        <w:t>FESEM</w:t>
      </w:r>
      <w:r w:rsidR="0089498D">
        <w:t>)</w:t>
      </w:r>
      <w:r>
        <w:t xml:space="preserve"> technique.  A gold foil that was manufactured in the same batch as the target foils was mounted to a silicon substrate. F</w:t>
      </w:r>
      <w:r w:rsidR="0089498D">
        <w:t>or the nominally 50 nm</w:t>
      </w:r>
      <w:r>
        <w:t xml:space="preserve"> foils, static electricity was sufficient to </w:t>
      </w:r>
      <w:proofErr w:type="gramStart"/>
      <w:r>
        <w:t>adhere</w:t>
      </w:r>
      <w:proofErr w:type="gramEnd"/>
      <w:r>
        <w:t xml:space="preserve"> the foil to the substrate. For the thicker foils,</w:t>
      </w:r>
      <w:r w:rsidR="0089498D">
        <w:t xml:space="preserve"> a commercial carbon suspension in alcohol, </w:t>
      </w:r>
      <w:proofErr w:type="spellStart"/>
      <w:r w:rsidR="0008381A">
        <w:t>A</w:t>
      </w:r>
      <w:r>
        <w:t>erodag</w:t>
      </w:r>
      <w:proofErr w:type="spellEnd"/>
      <w:r w:rsidR="0089498D">
        <w:t>™, was used</w:t>
      </w:r>
      <w:r>
        <w:t xml:space="preserve"> as a conductive adhesive</w:t>
      </w:r>
      <w:r w:rsidR="00FA62C5">
        <w:t xml:space="preserve"> between the foil and the silicon crystal</w:t>
      </w:r>
      <w:r w:rsidR="0089498D">
        <w:t xml:space="preserve">. The </w:t>
      </w:r>
      <w:proofErr w:type="spellStart"/>
      <w:r w:rsidR="0089498D">
        <w:t>Aerodag</w:t>
      </w:r>
      <w:proofErr w:type="spellEnd"/>
      <w:r w:rsidR="0089498D">
        <w:t xml:space="preserve"> </w:t>
      </w:r>
      <w:r>
        <w:t>was either sprayed on the substrate then the substrate set on the foil or the foil was set on the substrate and a drop of the liquid s</w:t>
      </w:r>
      <w:r w:rsidR="00FA62C5">
        <w:t>uspension was applied to the edge of the foil</w:t>
      </w:r>
      <w:r>
        <w:t xml:space="preserve">.  The </w:t>
      </w:r>
      <w:r w:rsidR="00FA62C5">
        <w:t xml:space="preserve">samples were then cleaved </w:t>
      </w:r>
      <w:r w:rsidR="0089498D">
        <w:t>by applying pressure to the edge of the silicon substrate with a curved blade</w:t>
      </w:r>
      <w:r w:rsidR="00FA62C5">
        <w:t xml:space="preserve">, cleaving the silicon and separating the gold foil to expose a thickness cross section for SEM imaging. </w:t>
      </w:r>
    </w:p>
    <w:p w:rsidR="00583381" w:rsidRDefault="00583381" w:rsidP="00583381">
      <w:pPr>
        <w:pStyle w:val="Heading2"/>
      </w:pPr>
      <w:r>
        <w:t>Measurement</w:t>
      </w:r>
    </w:p>
    <w:p w:rsidR="00D37DE3" w:rsidRDefault="0089498D">
      <w:r>
        <w:t>A</w:t>
      </w:r>
      <w:r w:rsidR="003600CB">
        <w:t xml:space="preserve"> Hitachi s-4700 FESEM model using</w:t>
      </w:r>
      <w:r>
        <w:t xml:space="preserve"> </w:t>
      </w:r>
      <w:r w:rsidR="00FA62C5">
        <w:t xml:space="preserve">an </w:t>
      </w:r>
      <w:r w:rsidR="003600CB">
        <w:t xml:space="preserve">electron energy of </w:t>
      </w:r>
      <w:r>
        <w:t>15.0 kV was used image the gold foi</w:t>
      </w:r>
      <w:r w:rsidR="003600CB">
        <w:t>l edges</w:t>
      </w:r>
      <w:r>
        <w:t>. Magnifications between</w:t>
      </w:r>
      <w:r w:rsidR="00986629">
        <w:t xml:space="preserve"> 10k and 150k</w:t>
      </w:r>
      <w:r>
        <w:t xml:space="preserve"> were used </w:t>
      </w:r>
      <w:r w:rsidR="00986629">
        <w:t>depending on the foil thickness</w:t>
      </w:r>
      <w:r>
        <w:t xml:space="preserve">. </w:t>
      </w:r>
      <w:r w:rsidR="00986629">
        <w:t xml:space="preserve">The working distance </w:t>
      </w:r>
      <w:r>
        <w:t xml:space="preserve">was varied until the image was in focus, and varied </w:t>
      </w:r>
      <w:r w:rsidR="00986629">
        <w:t xml:space="preserve">between 10 and 14 mm.  Images were </w:t>
      </w:r>
      <w:r w:rsidR="003600CB">
        <w:t xml:space="preserve">typically </w:t>
      </w:r>
      <w:r w:rsidR="00986629">
        <w:t xml:space="preserve">made </w:t>
      </w:r>
      <w:r w:rsidR="005E4055">
        <w:t>at a single location for each sample prepared.  For two of the samples, to test uniformity</w:t>
      </w:r>
      <w:r w:rsidR="00E10B1E">
        <w:t xml:space="preserve"> across a small area of the foil</w:t>
      </w:r>
      <w:r w:rsidR="005E4055">
        <w:t xml:space="preserve">, the sample was translated and 3 or 4 spots were measured along the edge of a sample. </w:t>
      </w:r>
      <w:r w:rsidR="003600CB">
        <w:t xml:space="preserve"> Additionally, for two foils,</w:t>
      </w:r>
      <w:r w:rsidR="005E4055">
        <w:t xml:space="preserve"> two </w:t>
      </w:r>
      <w:r w:rsidR="003600CB">
        <w:t xml:space="preserve">FESEM </w:t>
      </w:r>
      <w:r w:rsidR="005E4055">
        <w:t xml:space="preserve">samples were prepared from a single target foil, one near the center and one near the edge, and both were analyzed.  Finally, the tilt </w:t>
      </w:r>
      <w:r w:rsidR="0085031F">
        <w:t xml:space="preserve">(pitch) </w:t>
      </w:r>
      <w:r w:rsidR="005E4055">
        <w:t xml:space="preserve">dependence of the mounting in the FESEM was studied for one foil. </w:t>
      </w:r>
    </w:p>
    <w:p w:rsidR="00583381" w:rsidRDefault="00583381" w:rsidP="00583381">
      <w:pPr>
        <w:pStyle w:val="Heading2"/>
      </w:pPr>
      <w:r>
        <w:t>Image analysis</w:t>
      </w:r>
    </w:p>
    <w:p w:rsidR="005E4055" w:rsidRDefault="005E4055">
      <w:r>
        <w:t>The software program “ImageJ</w:t>
      </w:r>
      <w:r w:rsidR="00E10B1E">
        <w:rPr>
          <w:rStyle w:val="EndnoteReference"/>
        </w:rPr>
        <w:endnoteReference w:id="1"/>
      </w:r>
      <w:r>
        <w:t xml:space="preserve">” was used to determine the foil thickness from the FESEM images.  </w:t>
      </w:r>
      <w:r w:rsidR="00461D21">
        <w:t>For each image, the measurement gradation line was used to set the scale between nm and pixels, and measurements of the distance between the top and bottom of the foil were made using the built in measurement feature of the software. Depending on the quality of the image, the enhancement features of the software, including “edge find” and “sharpen”</w:t>
      </w:r>
      <w:r w:rsidR="00583381">
        <w:t>, as well as rotation</w:t>
      </w:r>
      <w:r w:rsidR="00461D21">
        <w:t xml:space="preserve"> correction were used to assist in the process of determining the edg</w:t>
      </w:r>
      <w:r w:rsidR="002A4CD0">
        <w:t>e of the foil in the image.  A systematic study was also performed to determine</w:t>
      </w:r>
      <w:r w:rsidR="00461D21">
        <w:t xml:space="preserve"> the </w:t>
      </w:r>
      <w:r w:rsidR="00583381">
        <w:t xml:space="preserve">effect of sample tilt, intentionally varying the angle of the sample holder in the FESEM by angles of -1.7 through +2.5 degrees and measuring the variation due to that change. </w:t>
      </w:r>
    </w:p>
    <w:p w:rsidR="00192EB3" w:rsidRDefault="00192EB3" w:rsidP="00192EB3">
      <w:r>
        <w:br w:type="page"/>
      </w:r>
    </w:p>
    <w:p w:rsidR="000E67FE" w:rsidRDefault="000E67FE" w:rsidP="00583381"/>
    <w:p w:rsidR="00583381" w:rsidRDefault="00583381" w:rsidP="00FB4AEE">
      <w:pPr>
        <w:pStyle w:val="Heading2"/>
      </w:pPr>
      <w:r>
        <w:t>Error sources and error analysis</w:t>
      </w:r>
    </w:p>
    <w:p w:rsidR="00A2281E" w:rsidRDefault="00A2281E" w:rsidP="00A2281E">
      <w:pPr>
        <w:pStyle w:val="Heading4"/>
      </w:pPr>
      <w:r>
        <w:t>Statistical Uncertainties</w:t>
      </w:r>
    </w:p>
    <w:p w:rsidR="00A2281E" w:rsidRDefault="00A228E3" w:rsidP="00311835">
      <w:r>
        <w:t xml:space="preserve">Uncertainties for the foil thickness measurements </w:t>
      </w:r>
      <w:r w:rsidR="003F457B">
        <w:t xml:space="preserve">can </w:t>
      </w:r>
      <w:r>
        <w:t>c</w:t>
      </w:r>
      <w:r w:rsidR="00FA62C5">
        <w:t xml:space="preserve">ome from the following sources both statistical and systematic uncertainties, as listed here. </w:t>
      </w:r>
    </w:p>
    <w:p w:rsidR="00A2281E" w:rsidRDefault="00FA62C5" w:rsidP="00311835">
      <w:pPr>
        <w:rPr>
          <w:color w:val="000000" w:themeColor="text1"/>
        </w:rPr>
      </w:pPr>
      <w:r>
        <w:t xml:space="preserve">Statistical uncertainties </w:t>
      </w:r>
      <w:r w:rsidR="00311835">
        <w:t xml:space="preserve">include the variation </w:t>
      </w:r>
      <w:r w:rsidR="0085031F">
        <w:t xml:space="preserve">in the </w:t>
      </w:r>
      <w:r w:rsidR="00A2281E">
        <w:t>thickness measurement obtained from images of the same spot on a film, which may vary in magnification or working distance</w:t>
      </w:r>
      <w:r w:rsidR="00EB3CDC" w:rsidRPr="00311835">
        <w:rPr>
          <w:color w:val="000000" w:themeColor="text1"/>
        </w:rPr>
        <w:t xml:space="preserve">. </w:t>
      </w:r>
      <w:r w:rsidR="00311835" w:rsidRPr="00311835">
        <w:rPr>
          <w:color w:val="000000" w:themeColor="text1"/>
        </w:rPr>
        <w:t>Additionally, repeated analysis of the same FESEM image using different techniques in the ImageJ software, such as edge find on or off, evenly spaced or clearest positions only for the lines yielded an</w:t>
      </w:r>
      <w:r w:rsidR="00A2281E">
        <w:rPr>
          <w:color w:val="000000" w:themeColor="text1"/>
        </w:rPr>
        <w:t>other</w:t>
      </w:r>
      <w:r w:rsidR="00311835" w:rsidRPr="00311835">
        <w:rPr>
          <w:color w:val="000000" w:themeColor="text1"/>
        </w:rPr>
        <w:t xml:space="preserve"> uncertainty for the reanalysis of th</w:t>
      </w:r>
      <w:r w:rsidR="0085031F">
        <w:rPr>
          <w:color w:val="000000" w:themeColor="text1"/>
        </w:rPr>
        <w:t>e same image</w:t>
      </w:r>
      <w:r w:rsidR="00311835" w:rsidRPr="00311835">
        <w:rPr>
          <w:color w:val="000000" w:themeColor="text1"/>
        </w:rPr>
        <w:t xml:space="preserve">. </w:t>
      </w:r>
      <w:r w:rsidR="00A2281E">
        <w:rPr>
          <w:color w:val="000000" w:themeColor="text1"/>
        </w:rPr>
        <w:t>These are quantified in Ta</w:t>
      </w:r>
      <w:r w:rsidR="009A5F2B">
        <w:rPr>
          <w:color w:val="000000" w:themeColor="text1"/>
        </w:rPr>
        <w:t>ble 1</w:t>
      </w:r>
      <w:r w:rsidR="00A2281E">
        <w:rPr>
          <w:color w:val="000000" w:themeColor="text1"/>
        </w:rPr>
        <w:t xml:space="preserve">, rows 3 and 4. </w:t>
      </w:r>
    </w:p>
    <w:p w:rsidR="00A2281E" w:rsidRDefault="00A2281E" w:rsidP="00A2281E">
      <w:pPr>
        <w:pStyle w:val="Heading4"/>
      </w:pPr>
      <w:r>
        <w:t>Systematic Uncertainties</w:t>
      </w:r>
    </w:p>
    <w:p w:rsidR="00A2281E" w:rsidRDefault="00A2281E" w:rsidP="00A2281E">
      <w:r>
        <w:t xml:space="preserve">Systematic uncertainties in the foil measurements include inherent limitations of the FESEM machine, uncertainties introduced in the image analysis for foil thickness calculation, and uncertainties or inaccuracies introduced through the foil mounting technique. </w:t>
      </w:r>
    </w:p>
    <w:p w:rsidR="00A2281E" w:rsidRPr="00A2281E" w:rsidRDefault="00A2281E" w:rsidP="00A2281E">
      <w:r>
        <w:t xml:space="preserve">The inherent resolution of the FESEM is 1.2 nm, and this uncertainty is the first systematic uncertainty considered in row 5 of Table x. </w:t>
      </w:r>
    </w:p>
    <w:p w:rsidR="00A2281E" w:rsidRDefault="00A2281E" w:rsidP="00A2281E">
      <w:r>
        <w:t xml:space="preserve">The image analysis, conducted with the </w:t>
      </w:r>
      <w:proofErr w:type="spellStart"/>
      <w:r>
        <w:t>imageJ</w:t>
      </w:r>
      <w:proofErr w:type="spellEnd"/>
      <w:r>
        <w:t xml:space="preserve"> software package, requires that the scale be set by the user from the length scale bar on the image, then will capture the length of lines drawn by the user to across the image to determine the thickness of the foil. The precision of assigning endpoints to the line measurements is no better than ~2 pixels at each end of the measured line, adding a ±4 pixel uncertainty on the measurement of the thickness of the foil, as shown in Table </w:t>
      </w:r>
      <w:r w:rsidR="009A5F2B">
        <w:t>1</w:t>
      </w:r>
      <w:r>
        <w:t xml:space="preserve"> row 6. </w:t>
      </w:r>
    </w:p>
    <w:p w:rsidR="00A2281E" w:rsidRDefault="00A2281E" w:rsidP="00FA62C5">
      <w:r>
        <w:t>The tilt uncertainty of the measured FESEM images is shown in row 7 of Table</w:t>
      </w:r>
      <w:r w:rsidR="009A5F2B">
        <w:t xml:space="preserve"> 1</w:t>
      </w:r>
      <w:r>
        <w:t xml:space="preserve">. </w:t>
      </w:r>
      <w:r w:rsidR="007A510F">
        <w:t>To measure the full thickness of the gold foil, the image must be made with the sample edge perpendicular to the incoming SEM electron beam (with normal incidence defined as 0°). This was not tightly controlled in the images of the first few foils measured, and some of the images appeared to have a non-zero angle. To test the dependence of this effect, t</w:t>
      </w:r>
      <w:r w:rsidR="00FA62C5">
        <w:t>ilts (pitch only) of up to ±5° were intentionally introduced</w:t>
      </w:r>
      <w:r w:rsidR="007A510F">
        <w:t xml:space="preserve"> for two of the measured foils. Comparing the intentionally tilted samples to the inadvertently tilted samples, none of the inadvertently tilted samples exceed this ±5° tilt. The</w:t>
      </w:r>
      <w:r w:rsidR="008231DD">
        <w:t>refore, due to tilt, the measured thickness of the foil would be</w:t>
      </w:r>
      <w:r w:rsidR="007A510F">
        <w:t xml:space="preserve"> </w:t>
      </w:r>
      <w:r w:rsidR="00FA62C5">
        <w:t xml:space="preserve">99.6% of the actual thickness of the foil. </w:t>
      </w:r>
      <w:r w:rsidR="008231DD">
        <w:t>W</w:t>
      </w:r>
      <w:r w:rsidR="007A510F">
        <w:t>e have added</w:t>
      </w:r>
      <w:r w:rsidR="00FA62C5">
        <w:t xml:space="preserve"> a 0.4% error factor for the uncertainty in tilt to all the foils to </w:t>
      </w:r>
      <w:r w:rsidR="008231DD">
        <w:t>account for</w:t>
      </w:r>
      <w:r w:rsidR="00FA62C5">
        <w:t xml:space="preserve"> this</w:t>
      </w:r>
      <w:r w:rsidR="008231DD">
        <w:t xml:space="preserve"> measurement uncertainty</w:t>
      </w:r>
      <w:r w:rsidR="00FA62C5">
        <w:t xml:space="preserve">. </w:t>
      </w:r>
    </w:p>
    <w:p w:rsidR="00FA62C5" w:rsidRDefault="00EB3CDC" w:rsidP="00EB3CDC">
      <w:r>
        <w:t>For the FESEM, the working distance is adjusted to best focus. To account for inaccuracies in the focus of the images, a systematic error of 0.1 mm (the resolution of the working distance adjustment) out of the 10 mm typical working distance adds a 1% uncertainty due to t</w:t>
      </w:r>
      <w:r w:rsidR="009A5F2B">
        <w:t xml:space="preserve">he instrument focus resolution, shown in Row 8. </w:t>
      </w:r>
    </w:p>
    <w:p w:rsidR="008231DD" w:rsidRDefault="009A5F2B" w:rsidP="00EB3CDC">
      <w:r>
        <w:t xml:space="preserve">Rows 9 and 10 of Table 1 give the manufacturer’s specifications for the thickness variation across a single foil and the thickness variation possible between sibling foils. Translation studies, where a sample </w:t>
      </w:r>
      <w:r>
        <w:lastRenderedPageBreak/>
        <w:t xml:space="preserve">was measured at different translation of the same FESEM sample, and larger studies where different FESEM samples were prepared from near the edge and the center of a gold sibling foil, were consistent within the resolution of the measurements with the assertion that the FESEM thickness varies by no more than 2% across the sample.  Since studies were not performed for all </w:t>
      </w:r>
      <w:proofErr w:type="gramStart"/>
      <w:r>
        <w:t>sample</w:t>
      </w:r>
      <w:proofErr w:type="gramEnd"/>
      <w:r>
        <w:t xml:space="preserve">, the manufacturer’s estimate of no more than 2% variation across the foil was used for this estimate. </w:t>
      </w:r>
    </w:p>
    <w:p w:rsidR="009A5F2B" w:rsidRDefault="009A5F2B" w:rsidP="00EB3CDC">
      <w:r>
        <w:t xml:space="preserve">The target foils used in the Mott study were manufactured in the same batch as the samples mounted for FESEM measurements, but there is a guarantee only that these </w:t>
      </w:r>
      <w:proofErr w:type="gramStart"/>
      <w:r>
        <w:t>sibling</w:t>
      </w:r>
      <w:proofErr w:type="gramEnd"/>
      <w:r>
        <w:t xml:space="preserve"> are consistent with the target foils to 5%.  This comprises the largest systematic uncertainty in the target foil measurement at 5%, listed in Row 10 of Table 1. </w:t>
      </w:r>
    </w:p>
    <w:p w:rsidR="00311835" w:rsidRDefault="00311835" w:rsidP="00311835">
      <w:pPr>
        <w:pStyle w:val="Heading4"/>
      </w:pPr>
      <w:r>
        <w:t>Additional uncertainties</w:t>
      </w:r>
    </w:p>
    <w:p w:rsidR="006517C7" w:rsidRDefault="00311835" w:rsidP="009A5F2B">
      <w:r>
        <w:t xml:space="preserve">Uncertainties that have not been quantified are any difference between the thickness of the foil as mounted and any difference introduced by the mounting and cleaving process.  This could be significant, but comparison difficult to quantify.  Additional extrapolation with rate rather than measured target thickness is done in section ___ to help account for any systematic discrepancies in the foil mounting, cleaving, imaging and measuring process. </w:t>
      </w:r>
    </w:p>
    <w:p w:rsidR="00EB3CDC" w:rsidRDefault="00EB3CDC" w:rsidP="00EB3CDC">
      <w:pPr>
        <w:pStyle w:val="Heading2"/>
      </w:pPr>
      <w:r>
        <w:t>Results</w:t>
      </w:r>
    </w:p>
    <w:p w:rsidR="00C56CCA" w:rsidRDefault="00EB3CDC">
      <w:pPr>
        <w:rPr>
          <w:color w:val="FF0000"/>
        </w:rPr>
      </w:pPr>
      <w:r>
        <w:t>The summary of the measureme</w:t>
      </w:r>
      <w:r w:rsidR="009A5F2B">
        <w:t>nts of the foils are listed in T</w:t>
      </w:r>
      <w:r>
        <w:t>able 1. The target f</w:t>
      </w:r>
      <w:r w:rsidR="008231DD">
        <w:t xml:space="preserve">oils are each labelled with </w:t>
      </w:r>
      <w:proofErr w:type="gramStart"/>
      <w:r w:rsidR="008231DD">
        <w:t>a 4</w:t>
      </w:r>
      <w:proofErr w:type="gramEnd"/>
      <w:r w:rsidR="008231DD">
        <w:t>-</w:t>
      </w:r>
      <w:r>
        <w:t xml:space="preserve">digit batch identification, and “sibling” foils from the same batch are </w:t>
      </w:r>
      <w:r w:rsidRPr="00E10B1E">
        <w:rPr>
          <w:color w:val="000000" w:themeColor="text1"/>
        </w:rPr>
        <w:t xml:space="preserve">distinguished </w:t>
      </w:r>
      <w:r w:rsidRPr="00EB3CDC">
        <w:rPr>
          <w:color w:val="000000" w:themeColor="text1"/>
        </w:rPr>
        <w:t>by suffixes from A-D. One of the foils, 50 nm foil 6845, did not have a sibling foil available for analysis.  Two of the target foils, ladder positions 8 and 14, were both siblings of the same measured foil, 5613A.</w:t>
      </w:r>
      <w:r w:rsidRPr="00E10B1E">
        <w:rPr>
          <w:color w:val="000000" w:themeColor="text1"/>
        </w:rPr>
        <w:t xml:space="preserve">  </w:t>
      </w:r>
    </w:p>
    <w:p w:rsidR="000916D9" w:rsidRDefault="000916D9">
      <w:pPr>
        <w:rPr>
          <w:color w:val="FF0000"/>
        </w:rPr>
      </w:pPr>
      <w:r>
        <w:rPr>
          <w:color w:val="FF0000"/>
        </w:rPr>
        <w:br w:type="page"/>
      </w:r>
    </w:p>
    <w:p w:rsidR="00DD2535" w:rsidRDefault="00DD2535">
      <w:pPr>
        <w:rPr>
          <w:color w:val="FF0000"/>
        </w:rPr>
      </w:pPr>
    </w:p>
    <w:p w:rsidR="0075206A" w:rsidRDefault="0075206A"/>
    <w:tbl>
      <w:tblPr>
        <w:tblStyle w:val="TableGrid"/>
        <w:tblW w:w="0" w:type="auto"/>
        <w:tblLook w:val="04A0" w:firstRow="1" w:lastRow="0" w:firstColumn="1" w:lastColumn="0" w:noHBand="0" w:noVBand="1"/>
      </w:tblPr>
      <w:tblGrid>
        <w:gridCol w:w="755"/>
        <w:gridCol w:w="3021"/>
        <w:gridCol w:w="721"/>
        <w:gridCol w:w="721"/>
        <w:gridCol w:w="721"/>
        <w:gridCol w:w="721"/>
        <w:gridCol w:w="721"/>
        <w:gridCol w:w="721"/>
        <w:gridCol w:w="721"/>
        <w:gridCol w:w="610"/>
      </w:tblGrid>
      <w:tr w:rsidR="002F0A05" w:rsidRPr="002F0A05" w:rsidTr="002F0A05">
        <w:trPr>
          <w:cantSplit/>
          <w:trHeight w:val="1520"/>
        </w:trPr>
        <w:tc>
          <w:tcPr>
            <w:tcW w:w="0" w:type="auto"/>
          </w:tcPr>
          <w:p w:rsidR="002F0A05" w:rsidRPr="002F0A05" w:rsidRDefault="002F0A05"/>
        </w:tc>
        <w:tc>
          <w:tcPr>
            <w:tcW w:w="0" w:type="auto"/>
            <w:noWrap/>
            <w:hideMark/>
          </w:tcPr>
          <w:p w:rsidR="002F0A05" w:rsidRPr="002F0A05" w:rsidRDefault="002F0A05"/>
        </w:tc>
        <w:tc>
          <w:tcPr>
            <w:tcW w:w="0" w:type="auto"/>
            <w:noWrap/>
            <w:textDirection w:val="btLr"/>
            <w:hideMark/>
          </w:tcPr>
          <w:p w:rsidR="002F0A05" w:rsidRPr="002F0A05" w:rsidRDefault="002F0A05" w:rsidP="002F0A05">
            <w:pPr>
              <w:ind w:left="113" w:right="113"/>
            </w:pPr>
            <w:r w:rsidRPr="002F0A05">
              <w:t>Au_5385_B</w:t>
            </w:r>
          </w:p>
        </w:tc>
        <w:tc>
          <w:tcPr>
            <w:tcW w:w="0" w:type="auto"/>
            <w:noWrap/>
            <w:textDirection w:val="btLr"/>
            <w:hideMark/>
          </w:tcPr>
          <w:p w:rsidR="002F0A05" w:rsidRPr="002F0A05" w:rsidRDefault="002F0A05" w:rsidP="002F0A05">
            <w:pPr>
              <w:ind w:left="113" w:right="113"/>
            </w:pPr>
            <w:r w:rsidRPr="002F0A05">
              <w:t>Au_3057_C</w:t>
            </w:r>
          </w:p>
        </w:tc>
        <w:tc>
          <w:tcPr>
            <w:tcW w:w="0" w:type="auto"/>
            <w:noWrap/>
            <w:textDirection w:val="btLr"/>
            <w:hideMark/>
          </w:tcPr>
          <w:p w:rsidR="002F0A05" w:rsidRPr="002F0A05" w:rsidRDefault="002F0A05" w:rsidP="002F0A05">
            <w:pPr>
              <w:ind w:left="113" w:right="113"/>
            </w:pPr>
            <w:r w:rsidRPr="002F0A05">
              <w:t>Au_5134_B</w:t>
            </w:r>
          </w:p>
        </w:tc>
        <w:tc>
          <w:tcPr>
            <w:tcW w:w="0" w:type="auto"/>
            <w:noWrap/>
            <w:textDirection w:val="btLr"/>
            <w:hideMark/>
          </w:tcPr>
          <w:p w:rsidR="002F0A05" w:rsidRPr="002F0A05" w:rsidRDefault="002F0A05" w:rsidP="002F0A05">
            <w:pPr>
              <w:ind w:left="113" w:right="113"/>
            </w:pPr>
            <w:r w:rsidRPr="002F0A05">
              <w:t>Au_7028_B</w:t>
            </w:r>
          </w:p>
        </w:tc>
        <w:tc>
          <w:tcPr>
            <w:tcW w:w="0" w:type="auto"/>
            <w:noWrap/>
            <w:textDirection w:val="btLr"/>
            <w:hideMark/>
          </w:tcPr>
          <w:p w:rsidR="002F0A05" w:rsidRPr="002F0A05" w:rsidRDefault="002F0A05" w:rsidP="002F0A05">
            <w:pPr>
              <w:ind w:left="113" w:right="113"/>
            </w:pPr>
            <w:r w:rsidRPr="002F0A05">
              <w:t>Au_5275_C</w:t>
            </w:r>
          </w:p>
        </w:tc>
        <w:tc>
          <w:tcPr>
            <w:tcW w:w="0" w:type="auto"/>
            <w:noWrap/>
            <w:textDirection w:val="btLr"/>
            <w:hideMark/>
          </w:tcPr>
          <w:p w:rsidR="002F0A05" w:rsidRPr="002F0A05" w:rsidRDefault="002F0A05" w:rsidP="002F0A05">
            <w:pPr>
              <w:ind w:left="113" w:right="113"/>
            </w:pPr>
            <w:r w:rsidRPr="002F0A05">
              <w:t>Au_5613_D</w:t>
            </w:r>
          </w:p>
        </w:tc>
        <w:tc>
          <w:tcPr>
            <w:tcW w:w="0" w:type="auto"/>
            <w:noWrap/>
            <w:textDirection w:val="btLr"/>
            <w:hideMark/>
          </w:tcPr>
          <w:p w:rsidR="002F0A05" w:rsidRPr="002F0A05" w:rsidRDefault="002F0A05" w:rsidP="002F0A05">
            <w:pPr>
              <w:ind w:left="113" w:right="113"/>
            </w:pPr>
            <w:r w:rsidRPr="002F0A05">
              <w:t>Au_7029_B</w:t>
            </w:r>
          </w:p>
        </w:tc>
        <w:tc>
          <w:tcPr>
            <w:tcW w:w="0" w:type="auto"/>
            <w:noWrap/>
            <w:textDirection w:val="btLr"/>
            <w:hideMark/>
          </w:tcPr>
          <w:p w:rsidR="002F0A05" w:rsidRPr="002F0A05" w:rsidRDefault="002F0A05" w:rsidP="002F0A05">
            <w:pPr>
              <w:ind w:left="113" w:right="113"/>
            </w:pPr>
            <w:r w:rsidRPr="002F0A05">
              <w:t>Au_6809_B</w:t>
            </w:r>
          </w:p>
        </w:tc>
      </w:tr>
      <w:tr w:rsidR="002F0A05" w:rsidRPr="00A2281E" w:rsidTr="002F0A05">
        <w:trPr>
          <w:trHeight w:val="288"/>
        </w:trPr>
        <w:tc>
          <w:tcPr>
            <w:tcW w:w="0" w:type="auto"/>
          </w:tcPr>
          <w:p w:rsidR="002F0A05" w:rsidRPr="002F0A05" w:rsidRDefault="002F0A05"/>
        </w:tc>
        <w:tc>
          <w:tcPr>
            <w:tcW w:w="0" w:type="auto"/>
            <w:noWrap/>
            <w:hideMark/>
          </w:tcPr>
          <w:p w:rsidR="002F0A05" w:rsidRPr="00A2281E" w:rsidRDefault="002F0A05">
            <w:pPr>
              <w:rPr>
                <w:i/>
              </w:rPr>
            </w:pPr>
            <w:r w:rsidRPr="00A2281E">
              <w:rPr>
                <w:i/>
              </w:rPr>
              <w:t>nominal thickness (nm)</w:t>
            </w:r>
          </w:p>
        </w:tc>
        <w:tc>
          <w:tcPr>
            <w:tcW w:w="0" w:type="auto"/>
            <w:noWrap/>
            <w:hideMark/>
          </w:tcPr>
          <w:p w:rsidR="002F0A05" w:rsidRPr="00A2281E" w:rsidRDefault="002F0A05" w:rsidP="00FD7436">
            <w:pPr>
              <w:jc w:val="right"/>
              <w:rPr>
                <w:i/>
              </w:rPr>
            </w:pPr>
            <w:r w:rsidRPr="00A2281E">
              <w:rPr>
                <w:i/>
              </w:rPr>
              <w:t>1000</w:t>
            </w:r>
          </w:p>
        </w:tc>
        <w:tc>
          <w:tcPr>
            <w:tcW w:w="0" w:type="auto"/>
            <w:noWrap/>
            <w:hideMark/>
          </w:tcPr>
          <w:p w:rsidR="002F0A05" w:rsidRPr="00A2281E" w:rsidRDefault="002F0A05" w:rsidP="00FD7436">
            <w:pPr>
              <w:jc w:val="right"/>
              <w:rPr>
                <w:i/>
              </w:rPr>
            </w:pPr>
            <w:r w:rsidRPr="00A2281E">
              <w:rPr>
                <w:i/>
              </w:rPr>
              <w:t>870</w:t>
            </w:r>
          </w:p>
        </w:tc>
        <w:tc>
          <w:tcPr>
            <w:tcW w:w="0" w:type="auto"/>
            <w:noWrap/>
            <w:hideMark/>
          </w:tcPr>
          <w:p w:rsidR="002F0A05" w:rsidRPr="00A2281E" w:rsidRDefault="002F0A05" w:rsidP="00FD7436">
            <w:pPr>
              <w:jc w:val="right"/>
              <w:rPr>
                <w:i/>
              </w:rPr>
            </w:pPr>
            <w:r w:rsidRPr="00A2281E">
              <w:rPr>
                <w:i/>
              </w:rPr>
              <w:t>750</w:t>
            </w:r>
          </w:p>
        </w:tc>
        <w:tc>
          <w:tcPr>
            <w:tcW w:w="0" w:type="auto"/>
            <w:noWrap/>
            <w:hideMark/>
          </w:tcPr>
          <w:p w:rsidR="002F0A05" w:rsidRPr="00A2281E" w:rsidRDefault="002F0A05" w:rsidP="00FD7436">
            <w:pPr>
              <w:jc w:val="right"/>
              <w:rPr>
                <w:i/>
              </w:rPr>
            </w:pPr>
            <w:r w:rsidRPr="00A2281E">
              <w:rPr>
                <w:i/>
              </w:rPr>
              <w:t>625</w:t>
            </w:r>
          </w:p>
        </w:tc>
        <w:tc>
          <w:tcPr>
            <w:tcW w:w="0" w:type="auto"/>
            <w:noWrap/>
            <w:hideMark/>
          </w:tcPr>
          <w:p w:rsidR="002F0A05" w:rsidRPr="00A2281E" w:rsidRDefault="002F0A05" w:rsidP="00FD7436">
            <w:pPr>
              <w:jc w:val="right"/>
              <w:rPr>
                <w:i/>
              </w:rPr>
            </w:pPr>
            <w:r w:rsidRPr="00A2281E">
              <w:rPr>
                <w:i/>
              </w:rPr>
              <w:t>500</w:t>
            </w:r>
          </w:p>
        </w:tc>
        <w:tc>
          <w:tcPr>
            <w:tcW w:w="0" w:type="auto"/>
            <w:noWrap/>
            <w:hideMark/>
          </w:tcPr>
          <w:p w:rsidR="002F0A05" w:rsidRPr="00A2281E" w:rsidRDefault="002F0A05" w:rsidP="00FD7436">
            <w:pPr>
              <w:jc w:val="right"/>
              <w:rPr>
                <w:i/>
              </w:rPr>
            </w:pPr>
            <w:r w:rsidRPr="00A2281E">
              <w:rPr>
                <w:i/>
              </w:rPr>
              <w:t>355</w:t>
            </w:r>
          </w:p>
        </w:tc>
        <w:tc>
          <w:tcPr>
            <w:tcW w:w="0" w:type="auto"/>
            <w:noWrap/>
            <w:hideMark/>
          </w:tcPr>
          <w:p w:rsidR="002F0A05" w:rsidRPr="00A2281E" w:rsidRDefault="002F0A05" w:rsidP="00FD7436">
            <w:pPr>
              <w:jc w:val="right"/>
              <w:rPr>
                <w:i/>
              </w:rPr>
            </w:pPr>
            <w:r w:rsidRPr="00A2281E">
              <w:rPr>
                <w:i/>
              </w:rPr>
              <w:t>225</w:t>
            </w:r>
          </w:p>
        </w:tc>
        <w:tc>
          <w:tcPr>
            <w:tcW w:w="0" w:type="auto"/>
            <w:noWrap/>
            <w:hideMark/>
          </w:tcPr>
          <w:p w:rsidR="002F0A05" w:rsidRPr="00A2281E" w:rsidRDefault="002F0A05" w:rsidP="00FD7436">
            <w:pPr>
              <w:jc w:val="right"/>
              <w:rPr>
                <w:i/>
              </w:rPr>
            </w:pPr>
            <w:r w:rsidRPr="00A2281E">
              <w:rPr>
                <w:i/>
              </w:rPr>
              <w:t>50</w:t>
            </w:r>
          </w:p>
        </w:tc>
      </w:tr>
      <w:tr w:rsidR="002F0A05" w:rsidRPr="002F0A05" w:rsidTr="002F0A05">
        <w:trPr>
          <w:trHeight w:val="288"/>
        </w:trPr>
        <w:tc>
          <w:tcPr>
            <w:tcW w:w="0" w:type="auto"/>
          </w:tcPr>
          <w:p w:rsidR="002F0A05" w:rsidRPr="002F0A05" w:rsidRDefault="002F0A05"/>
        </w:tc>
        <w:tc>
          <w:tcPr>
            <w:tcW w:w="0" w:type="auto"/>
            <w:noWrap/>
            <w:hideMark/>
          </w:tcPr>
          <w:p w:rsidR="002F0A05" w:rsidRPr="005A5F16" w:rsidRDefault="002F0A05">
            <w:pPr>
              <w:rPr>
                <w:b/>
              </w:rPr>
            </w:pPr>
            <w:r w:rsidRPr="005A5F16">
              <w:rPr>
                <w:b/>
              </w:rPr>
              <w:t>mean thickness (all</w:t>
            </w:r>
            <w:r w:rsidR="00A2281E" w:rsidRPr="005A5F16">
              <w:rPr>
                <w:b/>
              </w:rPr>
              <w:t xml:space="preserve"> data</w:t>
            </w:r>
            <w:r w:rsidRPr="005A5F16">
              <w:rPr>
                <w:b/>
              </w:rPr>
              <w:t>, nm)</w:t>
            </w:r>
          </w:p>
        </w:tc>
        <w:tc>
          <w:tcPr>
            <w:tcW w:w="0" w:type="auto"/>
            <w:noWrap/>
            <w:hideMark/>
          </w:tcPr>
          <w:p w:rsidR="002F0A05" w:rsidRPr="005A5F16" w:rsidRDefault="002F0A05" w:rsidP="00FD7436">
            <w:pPr>
              <w:jc w:val="right"/>
              <w:rPr>
                <w:b/>
              </w:rPr>
            </w:pPr>
            <w:r w:rsidRPr="005A5F16">
              <w:rPr>
                <w:b/>
              </w:rPr>
              <w:t>943.7</w:t>
            </w:r>
          </w:p>
        </w:tc>
        <w:tc>
          <w:tcPr>
            <w:tcW w:w="0" w:type="auto"/>
            <w:noWrap/>
            <w:hideMark/>
          </w:tcPr>
          <w:p w:rsidR="002F0A05" w:rsidRPr="005A5F16" w:rsidRDefault="002F0A05" w:rsidP="00FD7436">
            <w:pPr>
              <w:jc w:val="right"/>
              <w:rPr>
                <w:b/>
              </w:rPr>
            </w:pPr>
            <w:r w:rsidRPr="005A5F16">
              <w:rPr>
                <w:b/>
              </w:rPr>
              <w:t>836.8</w:t>
            </w:r>
          </w:p>
        </w:tc>
        <w:tc>
          <w:tcPr>
            <w:tcW w:w="0" w:type="auto"/>
            <w:noWrap/>
            <w:hideMark/>
          </w:tcPr>
          <w:p w:rsidR="002F0A05" w:rsidRPr="005A5F16" w:rsidRDefault="002F0A05" w:rsidP="00FD7436">
            <w:pPr>
              <w:jc w:val="right"/>
              <w:rPr>
                <w:b/>
              </w:rPr>
            </w:pPr>
            <w:r w:rsidRPr="005A5F16">
              <w:rPr>
                <w:b/>
              </w:rPr>
              <w:t>774.6</w:t>
            </w:r>
          </w:p>
        </w:tc>
        <w:tc>
          <w:tcPr>
            <w:tcW w:w="0" w:type="auto"/>
            <w:noWrap/>
            <w:hideMark/>
          </w:tcPr>
          <w:p w:rsidR="002F0A05" w:rsidRPr="005A5F16" w:rsidRDefault="002F0A05" w:rsidP="00FD7436">
            <w:pPr>
              <w:jc w:val="right"/>
              <w:rPr>
                <w:b/>
              </w:rPr>
            </w:pPr>
            <w:r w:rsidRPr="005A5F16">
              <w:rPr>
                <w:b/>
              </w:rPr>
              <w:t>561.2</w:t>
            </w:r>
          </w:p>
        </w:tc>
        <w:tc>
          <w:tcPr>
            <w:tcW w:w="0" w:type="auto"/>
            <w:noWrap/>
            <w:hideMark/>
          </w:tcPr>
          <w:p w:rsidR="002F0A05" w:rsidRPr="005A5F16" w:rsidRDefault="002F0A05" w:rsidP="00FD7436">
            <w:pPr>
              <w:jc w:val="right"/>
              <w:rPr>
                <w:b/>
              </w:rPr>
            </w:pPr>
            <w:r w:rsidRPr="005A5F16">
              <w:rPr>
                <w:b/>
              </w:rPr>
              <w:t>482.0</w:t>
            </w:r>
          </w:p>
        </w:tc>
        <w:tc>
          <w:tcPr>
            <w:tcW w:w="0" w:type="auto"/>
            <w:noWrap/>
            <w:hideMark/>
          </w:tcPr>
          <w:p w:rsidR="002F0A05" w:rsidRPr="005A5F16" w:rsidRDefault="002F0A05" w:rsidP="00FD7436">
            <w:pPr>
              <w:jc w:val="right"/>
              <w:rPr>
                <w:b/>
              </w:rPr>
            </w:pPr>
            <w:r w:rsidRPr="005A5F16">
              <w:rPr>
                <w:b/>
              </w:rPr>
              <w:t>389.4</w:t>
            </w:r>
          </w:p>
        </w:tc>
        <w:tc>
          <w:tcPr>
            <w:tcW w:w="0" w:type="auto"/>
            <w:noWrap/>
            <w:hideMark/>
          </w:tcPr>
          <w:p w:rsidR="002F0A05" w:rsidRPr="005A5F16" w:rsidRDefault="002F0A05" w:rsidP="00FD7436">
            <w:pPr>
              <w:jc w:val="right"/>
              <w:rPr>
                <w:b/>
              </w:rPr>
            </w:pPr>
            <w:r w:rsidRPr="005A5F16">
              <w:rPr>
                <w:b/>
              </w:rPr>
              <w:t>215.2</w:t>
            </w:r>
          </w:p>
        </w:tc>
        <w:tc>
          <w:tcPr>
            <w:tcW w:w="0" w:type="auto"/>
            <w:noWrap/>
            <w:hideMark/>
          </w:tcPr>
          <w:p w:rsidR="002F0A05" w:rsidRPr="005A5F16" w:rsidRDefault="002F0A05" w:rsidP="00FD7436">
            <w:pPr>
              <w:jc w:val="right"/>
              <w:rPr>
                <w:b/>
              </w:rPr>
            </w:pPr>
            <w:r w:rsidRPr="005A5F16">
              <w:rPr>
                <w:b/>
              </w:rPr>
              <w:t>52.0</w:t>
            </w:r>
          </w:p>
        </w:tc>
      </w:tr>
      <w:tr w:rsidR="0085031F" w:rsidRPr="002F0A05" w:rsidTr="0085031F">
        <w:trPr>
          <w:trHeight w:val="288"/>
        </w:trPr>
        <w:tc>
          <w:tcPr>
            <w:tcW w:w="0" w:type="auto"/>
            <w:shd w:val="clear" w:color="auto" w:fill="EAF1DD" w:themeFill="accent3" w:themeFillTint="33"/>
          </w:tcPr>
          <w:p w:rsidR="0085031F" w:rsidRPr="002F0A05" w:rsidRDefault="0085031F">
            <w:r>
              <w:t>Stat.</w:t>
            </w:r>
          </w:p>
        </w:tc>
        <w:tc>
          <w:tcPr>
            <w:tcW w:w="0" w:type="auto"/>
            <w:shd w:val="clear" w:color="auto" w:fill="EAF1DD" w:themeFill="accent3" w:themeFillTint="33"/>
            <w:noWrap/>
            <w:hideMark/>
          </w:tcPr>
          <w:p w:rsidR="0085031F" w:rsidRPr="002F0A05" w:rsidRDefault="0085031F" w:rsidP="00FD7436">
            <w:proofErr w:type="spellStart"/>
            <w:r>
              <w:t>Stdev</w:t>
            </w:r>
            <w:proofErr w:type="spellEnd"/>
            <w:r>
              <w:t>, nom. identical data</w:t>
            </w:r>
            <w:r w:rsidRPr="002F0A05">
              <w:t xml:space="preserve"> (nm)</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29.0</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7.1</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9.1</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8.0</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9.7</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4.5</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1.9</w:t>
            </w:r>
          </w:p>
        </w:tc>
        <w:tc>
          <w:tcPr>
            <w:tcW w:w="0" w:type="auto"/>
            <w:shd w:val="clear" w:color="auto" w:fill="EAF1DD" w:themeFill="accent3" w:themeFillTint="33"/>
            <w:noWrap/>
            <w:vAlign w:val="bottom"/>
          </w:tcPr>
          <w:p w:rsidR="0085031F" w:rsidRDefault="0085031F">
            <w:pPr>
              <w:jc w:val="right"/>
              <w:rPr>
                <w:rFonts w:ascii="Calibri" w:hAnsi="Calibri"/>
                <w:color w:val="000000"/>
              </w:rPr>
            </w:pPr>
            <w:r>
              <w:rPr>
                <w:rFonts w:ascii="Calibri" w:hAnsi="Calibri"/>
                <w:color w:val="000000"/>
              </w:rPr>
              <w:t>2.3</w:t>
            </w:r>
          </w:p>
        </w:tc>
      </w:tr>
      <w:tr w:rsidR="00FD7436" w:rsidRPr="002F0A05" w:rsidTr="002F0A05">
        <w:trPr>
          <w:trHeight w:val="288"/>
        </w:trPr>
        <w:tc>
          <w:tcPr>
            <w:tcW w:w="0" w:type="auto"/>
            <w:shd w:val="clear" w:color="auto" w:fill="EAF1DD" w:themeFill="accent3" w:themeFillTint="33"/>
          </w:tcPr>
          <w:p w:rsidR="002F0A05" w:rsidRPr="002F0A05" w:rsidRDefault="002F0A05"/>
        </w:tc>
        <w:tc>
          <w:tcPr>
            <w:tcW w:w="0" w:type="auto"/>
            <w:shd w:val="clear" w:color="auto" w:fill="EAF1DD" w:themeFill="accent3" w:themeFillTint="33"/>
            <w:noWrap/>
            <w:hideMark/>
          </w:tcPr>
          <w:p w:rsidR="002F0A05" w:rsidRPr="002F0A05" w:rsidRDefault="002F0A05">
            <w:proofErr w:type="spellStart"/>
            <w:r w:rsidRPr="002F0A05">
              <w:t>stdev</w:t>
            </w:r>
            <w:proofErr w:type="spellEnd"/>
            <w:r w:rsidRPr="002F0A05">
              <w:t xml:space="preserve"> image reanalysis (nm)</w:t>
            </w:r>
          </w:p>
        </w:tc>
        <w:tc>
          <w:tcPr>
            <w:tcW w:w="0" w:type="auto"/>
            <w:shd w:val="clear" w:color="auto" w:fill="EAF1DD" w:themeFill="accent3" w:themeFillTint="33"/>
            <w:noWrap/>
            <w:hideMark/>
          </w:tcPr>
          <w:p w:rsidR="002F0A05" w:rsidRPr="002F0A05" w:rsidRDefault="002F0A05" w:rsidP="00FD7436">
            <w:pPr>
              <w:jc w:val="right"/>
            </w:pPr>
            <w:r w:rsidRPr="002F0A05">
              <w:t>22.5</w:t>
            </w:r>
          </w:p>
        </w:tc>
        <w:tc>
          <w:tcPr>
            <w:tcW w:w="0" w:type="auto"/>
            <w:shd w:val="clear" w:color="auto" w:fill="EAF1DD" w:themeFill="accent3" w:themeFillTint="33"/>
            <w:noWrap/>
            <w:hideMark/>
          </w:tcPr>
          <w:p w:rsidR="002F0A05" w:rsidRPr="002F0A05" w:rsidRDefault="002F0A05" w:rsidP="00FD7436">
            <w:pPr>
              <w:jc w:val="right"/>
            </w:pPr>
            <w:r w:rsidRPr="002F0A05">
              <w:t>7.7</w:t>
            </w:r>
          </w:p>
        </w:tc>
        <w:tc>
          <w:tcPr>
            <w:tcW w:w="0" w:type="auto"/>
            <w:shd w:val="clear" w:color="auto" w:fill="EAF1DD" w:themeFill="accent3" w:themeFillTint="33"/>
            <w:noWrap/>
            <w:hideMark/>
          </w:tcPr>
          <w:p w:rsidR="002F0A05" w:rsidRPr="002F0A05" w:rsidRDefault="002F0A05" w:rsidP="00FD7436">
            <w:pPr>
              <w:jc w:val="right"/>
            </w:pPr>
            <w:r w:rsidRPr="002F0A05">
              <w:t>9.4</w:t>
            </w:r>
          </w:p>
        </w:tc>
        <w:tc>
          <w:tcPr>
            <w:tcW w:w="0" w:type="auto"/>
            <w:shd w:val="clear" w:color="auto" w:fill="EAF1DD" w:themeFill="accent3" w:themeFillTint="33"/>
            <w:noWrap/>
            <w:hideMark/>
          </w:tcPr>
          <w:p w:rsidR="002F0A05" w:rsidRPr="002F0A05" w:rsidRDefault="002F0A05" w:rsidP="00FD7436">
            <w:pPr>
              <w:jc w:val="right"/>
            </w:pPr>
            <w:r w:rsidRPr="002F0A05">
              <w:t>7.5</w:t>
            </w:r>
          </w:p>
        </w:tc>
        <w:tc>
          <w:tcPr>
            <w:tcW w:w="0" w:type="auto"/>
            <w:shd w:val="clear" w:color="auto" w:fill="EAF1DD" w:themeFill="accent3" w:themeFillTint="33"/>
            <w:noWrap/>
            <w:hideMark/>
          </w:tcPr>
          <w:p w:rsidR="002F0A05" w:rsidRPr="002F0A05" w:rsidRDefault="002F0A05" w:rsidP="00FD7436">
            <w:pPr>
              <w:jc w:val="right"/>
            </w:pPr>
            <w:r w:rsidRPr="002F0A05">
              <w:t>4.0</w:t>
            </w:r>
          </w:p>
        </w:tc>
        <w:tc>
          <w:tcPr>
            <w:tcW w:w="0" w:type="auto"/>
            <w:shd w:val="clear" w:color="auto" w:fill="EAF1DD" w:themeFill="accent3" w:themeFillTint="33"/>
            <w:noWrap/>
            <w:hideMark/>
          </w:tcPr>
          <w:p w:rsidR="002F0A05" w:rsidRPr="002F0A05" w:rsidRDefault="002F0A05" w:rsidP="00FD7436">
            <w:pPr>
              <w:jc w:val="right"/>
            </w:pPr>
            <w:r w:rsidRPr="002F0A05">
              <w:t>2.7</w:t>
            </w:r>
          </w:p>
        </w:tc>
        <w:tc>
          <w:tcPr>
            <w:tcW w:w="0" w:type="auto"/>
            <w:shd w:val="clear" w:color="auto" w:fill="EAF1DD" w:themeFill="accent3" w:themeFillTint="33"/>
            <w:noWrap/>
            <w:hideMark/>
          </w:tcPr>
          <w:p w:rsidR="002F0A05" w:rsidRPr="002F0A05" w:rsidRDefault="002F0A05" w:rsidP="00FD7436">
            <w:pPr>
              <w:jc w:val="right"/>
            </w:pPr>
            <w:r w:rsidRPr="002F0A05">
              <w:t>1.8</w:t>
            </w:r>
          </w:p>
        </w:tc>
        <w:tc>
          <w:tcPr>
            <w:tcW w:w="0" w:type="auto"/>
            <w:shd w:val="clear" w:color="auto" w:fill="EAF1DD" w:themeFill="accent3" w:themeFillTint="33"/>
            <w:noWrap/>
            <w:hideMark/>
          </w:tcPr>
          <w:p w:rsidR="002F0A05" w:rsidRPr="002F0A05" w:rsidRDefault="002F0A05" w:rsidP="00FD7436">
            <w:pPr>
              <w:jc w:val="right"/>
            </w:pPr>
            <w:r w:rsidRPr="002F0A05">
              <w:t>2.1</w:t>
            </w:r>
          </w:p>
        </w:tc>
      </w:tr>
      <w:tr w:rsidR="00FD7436" w:rsidRPr="002F0A05" w:rsidTr="002F0A05">
        <w:trPr>
          <w:trHeight w:val="288"/>
        </w:trPr>
        <w:tc>
          <w:tcPr>
            <w:tcW w:w="0" w:type="auto"/>
            <w:shd w:val="clear" w:color="auto" w:fill="E5DFEC" w:themeFill="accent4" w:themeFillTint="33"/>
          </w:tcPr>
          <w:p w:rsidR="002F0A05" w:rsidRPr="002F0A05" w:rsidRDefault="002F0A05">
            <w:r>
              <w:t>Syst.</w:t>
            </w:r>
          </w:p>
        </w:tc>
        <w:tc>
          <w:tcPr>
            <w:tcW w:w="0" w:type="auto"/>
            <w:shd w:val="clear" w:color="auto" w:fill="E5DFEC" w:themeFill="accent4" w:themeFillTint="33"/>
            <w:noWrap/>
            <w:hideMark/>
          </w:tcPr>
          <w:p w:rsidR="002F0A05" w:rsidRPr="002F0A05" w:rsidRDefault="002F0A05">
            <w:r w:rsidRPr="002F0A05">
              <w:t xml:space="preserve">Image analysis: ± 4 Pixel </w:t>
            </w:r>
          </w:p>
        </w:tc>
        <w:tc>
          <w:tcPr>
            <w:tcW w:w="0" w:type="auto"/>
            <w:shd w:val="clear" w:color="auto" w:fill="E5DFEC" w:themeFill="accent4" w:themeFillTint="33"/>
            <w:noWrap/>
            <w:hideMark/>
          </w:tcPr>
          <w:p w:rsidR="002F0A05" w:rsidRPr="002F0A05" w:rsidRDefault="002F0A05" w:rsidP="00FD7436">
            <w:pPr>
              <w:jc w:val="right"/>
            </w:pPr>
            <w:r w:rsidRPr="002F0A05">
              <w:t>20.0</w:t>
            </w:r>
          </w:p>
        </w:tc>
        <w:tc>
          <w:tcPr>
            <w:tcW w:w="0" w:type="auto"/>
            <w:shd w:val="clear" w:color="auto" w:fill="E5DFEC" w:themeFill="accent4" w:themeFillTint="33"/>
            <w:noWrap/>
            <w:hideMark/>
          </w:tcPr>
          <w:p w:rsidR="002F0A05" w:rsidRPr="002F0A05" w:rsidRDefault="002F0A05" w:rsidP="00FD7436">
            <w:pPr>
              <w:jc w:val="right"/>
            </w:pPr>
            <w:r w:rsidRPr="002F0A05">
              <w:t>8.0</w:t>
            </w:r>
          </w:p>
        </w:tc>
        <w:tc>
          <w:tcPr>
            <w:tcW w:w="0" w:type="auto"/>
            <w:shd w:val="clear" w:color="auto" w:fill="E5DFEC" w:themeFill="accent4" w:themeFillTint="33"/>
            <w:noWrap/>
            <w:hideMark/>
          </w:tcPr>
          <w:p w:rsidR="002F0A05" w:rsidRPr="002F0A05" w:rsidRDefault="002F0A05" w:rsidP="00FD7436">
            <w:pPr>
              <w:jc w:val="right"/>
            </w:pPr>
            <w:r w:rsidRPr="002F0A05">
              <w:t>10.0</w:t>
            </w:r>
          </w:p>
        </w:tc>
        <w:tc>
          <w:tcPr>
            <w:tcW w:w="0" w:type="auto"/>
            <w:shd w:val="clear" w:color="auto" w:fill="E5DFEC" w:themeFill="accent4" w:themeFillTint="33"/>
            <w:noWrap/>
            <w:hideMark/>
          </w:tcPr>
          <w:p w:rsidR="002F0A05" w:rsidRPr="002F0A05" w:rsidRDefault="002F0A05" w:rsidP="00FD7436">
            <w:pPr>
              <w:jc w:val="right"/>
            </w:pPr>
            <w:r w:rsidRPr="002F0A05">
              <w:t>8.0</w:t>
            </w:r>
          </w:p>
        </w:tc>
        <w:tc>
          <w:tcPr>
            <w:tcW w:w="0" w:type="auto"/>
            <w:shd w:val="clear" w:color="auto" w:fill="E5DFEC" w:themeFill="accent4" w:themeFillTint="33"/>
            <w:noWrap/>
            <w:hideMark/>
          </w:tcPr>
          <w:p w:rsidR="002F0A05" w:rsidRPr="002F0A05" w:rsidRDefault="002F0A05" w:rsidP="00FD7436">
            <w:pPr>
              <w:jc w:val="right"/>
            </w:pPr>
            <w:r w:rsidRPr="002F0A05">
              <w:t>8.0</w:t>
            </w:r>
          </w:p>
        </w:tc>
        <w:tc>
          <w:tcPr>
            <w:tcW w:w="0" w:type="auto"/>
            <w:shd w:val="clear" w:color="auto" w:fill="E5DFEC" w:themeFill="accent4" w:themeFillTint="33"/>
            <w:noWrap/>
            <w:hideMark/>
          </w:tcPr>
          <w:p w:rsidR="002F0A05" w:rsidRPr="002F0A05" w:rsidRDefault="002F0A05" w:rsidP="00FD7436">
            <w:pPr>
              <w:jc w:val="right"/>
            </w:pPr>
            <w:r w:rsidRPr="002F0A05">
              <w:t>8.0</w:t>
            </w:r>
          </w:p>
        </w:tc>
        <w:tc>
          <w:tcPr>
            <w:tcW w:w="0" w:type="auto"/>
            <w:shd w:val="clear" w:color="auto" w:fill="E5DFEC" w:themeFill="accent4" w:themeFillTint="33"/>
            <w:noWrap/>
            <w:hideMark/>
          </w:tcPr>
          <w:p w:rsidR="002F0A05" w:rsidRPr="002F0A05" w:rsidRDefault="002F0A05" w:rsidP="00FD7436">
            <w:pPr>
              <w:jc w:val="right"/>
            </w:pPr>
            <w:r w:rsidRPr="002F0A05">
              <w:t>2.6</w:t>
            </w:r>
          </w:p>
        </w:tc>
        <w:tc>
          <w:tcPr>
            <w:tcW w:w="0" w:type="auto"/>
            <w:shd w:val="clear" w:color="auto" w:fill="E5DFEC" w:themeFill="accent4" w:themeFillTint="33"/>
            <w:noWrap/>
            <w:hideMark/>
          </w:tcPr>
          <w:p w:rsidR="002F0A05" w:rsidRPr="002F0A05" w:rsidRDefault="002F0A05" w:rsidP="00FD7436">
            <w:pPr>
              <w:jc w:val="right"/>
            </w:pPr>
            <w:r w:rsidRPr="002F0A05">
              <w:t>2.6</w:t>
            </w:r>
          </w:p>
        </w:tc>
      </w:tr>
      <w:tr w:rsidR="00FD7436" w:rsidRPr="002F0A05" w:rsidTr="002F0A05">
        <w:trPr>
          <w:trHeight w:val="288"/>
        </w:trPr>
        <w:tc>
          <w:tcPr>
            <w:tcW w:w="0" w:type="auto"/>
            <w:shd w:val="clear" w:color="auto" w:fill="E5DFEC" w:themeFill="accent4" w:themeFillTint="33"/>
          </w:tcPr>
          <w:p w:rsidR="002F0A05" w:rsidRPr="002F0A05" w:rsidRDefault="002F0A05"/>
        </w:tc>
        <w:tc>
          <w:tcPr>
            <w:tcW w:w="0" w:type="auto"/>
            <w:shd w:val="clear" w:color="auto" w:fill="E5DFEC" w:themeFill="accent4" w:themeFillTint="33"/>
            <w:noWrap/>
            <w:hideMark/>
          </w:tcPr>
          <w:p w:rsidR="002F0A05" w:rsidRPr="002F0A05" w:rsidRDefault="002F0A05">
            <w:r w:rsidRPr="002F0A05">
              <w:t>Resolution (1.2 nm inherent)</w:t>
            </w:r>
          </w:p>
        </w:tc>
        <w:tc>
          <w:tcPr>
            <w:tcW w:w="0" w:type="auto"/>
            <w:shd w:val="clear" w:color="auto" w:fill="E5DFEC" w:themeFill="accent4" w:themeFillTint="33"/>
            <w:noWrap/>
            <w:hideMark/>
          </w:tcPr>
          <w:p w:rsidR="002F0A05" w:rsidRPr="002F0A05" w:rsidRDefault="002F0A05" w:rsidP="00FD7436">
            <w:pPr>
              <w:jc w:val="right"/>
            </w:pPr>
            <w:r w:rsidRPr="002F0A05">
              <w:t>1.2</w:t>
            </w:r>
          </w:p>
        </w:tc>
        <w:tc>
          <w:tcPr>
            <w:tcW w:w="0" w:type="auto"/>
            <w:shd w:val="clear" w:color="auto" w:fill="E5DFEC" w:themeFill="accent4" w:themeFillTint="33"/>
            <w:noWrap/>
            <w:hideMark/>
          </w:tcPr>
          <w:p w:rsidR="002F0A05" w:rsidRPr="002F0A05" w:rsidRDefault="002F0A05" w:rsidP="00FD7436">
            <w:pPr>
              <w:jc w:val="right"/>
            </w:pPr>
            <w:r w:rsidRPr="002F0A05">
              <w:t>1.2</w:t>
            </w:r>
          </w:p>
        </w:tc>
        <w:tc>
          <w:tcPr>
            <w:tcW w:w="0" w:type="auto"/>
            <w:shd w:val="clear" w:color="auto" w:fill="E5DFEC" w:themeFill="accent4" w:themeFillTint="33"/>
            <w:noWrap/>
            <w:hideMark/>
          </w:tcPr>
          <w:p w:rsidR="002F0A05" w:rsidRPr="002F0A05" w:rsidRDefault="002F0A05" w:rsidP="00FD7436">
            <w:pPr>
              <w:jc w:val="right"/>
            </w:pPr>
            <w:r w:rsidRPr="002F0A05">
              <w:t>1.2</w:t>
            </w:r>
          </w:p>
        </w:tc>
        <w:tc>
          <w:tcPr>
            <w:tcW w:w="0" w:type="auto"/>
            <w:shd w:val="clear" w:color="auto" w:fill="E5DFEC" w:themeFill="accent4" w:themeFillTint="33"/>
            <w:noWrap/>
            <w:hideMark/>
          </w:tcPr>
          <w:p w:rsidR="002F0A05" w:rsidRPr="002F0A05" w:rsidRDefault="002F0A05" w:rsidP="00FD7436">
            <w:pPr>
              <w:jc w:val="right"/>
            </w:pPr>
            <w:r w:rsidRPr="002F0A05">
              <w:t>1.2</w:t>
            </w:r>
          </w:p>
        </w:tc>
        <w:tc>
          <w:tcPr>
            <w:tcW w:w="0" w:type="auto"/>
            <w:shd w:val="clear" w:color="auto" w:fill="E5DFEC" w:themeFill="accent4" w:themeFillTint="33"/>
            <w:noWrap/>
            <w:hideMark/>
          </w:tcPr>
          <w:p w:rsidR="002F0A05" w:rsidRPr="002F0A05" w:rsidRDefault="002F0A05" w:rsidP="00FD7436">
            <w:pPr>
              <w:jc w:val="right"/>
            </w:pPr>
            <w:r w:rsidRPr="002F0A05">
              <w:t>1.2</w:t>
            </w:r>
          </w:p>
        </w:tc>
        <w:tc>
          <w:tcPr>
            <w:tcW w:w="0" w:type="auto"/>
            <w:shd w:val="clear" w:color="auto" w:fill="E5DFEC" w:themeFill="accent4" w:themeFillTint="33"/>
            <w:noWrap/>
            <w:hideMark/>
          </w:tcPr>
          <w:p w:rsidR="002F0A05" w:rsidRPr="002F0A05" w:rsidRDefault="002F0A05" w:rsidP="00FD7436">
            <w:pPr>
              <w:jc w:val="right"/>
            </w:pPr>
            <w:r w:rsidRPr="002F0A05">
              <w:t>1.2</w:t>
            </w:r>
          </w:p>
        </w:tc>
        <w:tc>
          <w:tcPr>
            <w:tcW w:w="0" w:type="auto"/>
            <w:shd w:val="clear" w:color="auto" w:fill="E5DFEC" w:themeFill="accent4" w:themeFillTint="33"/>
            <w:noWrap/>
            <w:hideMark/>
          </w:tcPr>
          <w:p w:rsidR="002F0A05" w:rsidRPr="002F0A05" w:rsidRDefault="002F0A05" w:rsidP="00FD7436">
            <w:pPr>
              <w:jc w:val="right"/>
            </w:pPr>
            <w:r w:rsidRPr="002F0A05">
              <w:t>1.2</w:t>
            </w:r>
          </w:p>
        </w:tc>
        <w:tc>
          <w:tcPr>
            <w:tcW w:w="0" w:type="auto"/>
            <w:shd w:val="clear" w:color="auto" w:fill="E5DFEC" w:themeFill="accent4" w:themeFillTint="33"/>
            <w:noWrap/>
            <w:hideMark/>
          </w:tcPr>
          <w:p w:rsidR="002F0A05" w:rsidRPr="002F0A05" w:rsidRDefault="002F0A05" w:rsidP="00FD7436">
            <w:pPr>
              <w:jc w:val="right"/>
            </w:pPr>
            <w:r w:rsidRPr="002F0A05">
              <w:t>1.2</w:t>
            </w:r>
          </w:p>
        </w:tc>
      </w:tr>
      <w:tr w:rsidR="00FD7436" w:rsidRPr="002F0A05" w:rsidTr="002F0A05">
        <w:trPr>
          <w:trHeight w:val="288"/>
        </w:trPr>
        <w:tc>
          <w:tcPr>
            <w:tcW w:w="0" w:type="auto"/>
            <w:shd w:val="clear" w:color="auto" w:fill="E5DFEC" w:themeFill="accent4" w:themeFillTint="33"/>
          </w:tcPr>
          <w:p w:rsidR="002F0A05" w:rsidRPr="002F0A05" w:rsidRDefault="002F0A05"/>
        </w:tc>
        <w:tc>
          <w:tcPr>
            <w:tcW w:w="0" w:type="auto"/>
            <w:shd w:val="clear" w:color="auto" w:fill="E5DFEC" w:themeFill="accent4" w:themeFillTint="33"/>
            <w:noWrap/>
            <w:hideMark/>
          </w:tcPr>
          <w:p w:rsidR="002F0A05" w:rsidRPr="002F0A05" w:rsidRDefault="002F0A05">
            <w:r w:rsidRPr="002F0A05">
              <w:t>Tilt (0.4%)</w:t>
            </w:r>
          </w:p>
        </w:tc>
        <w:tc>
          <w:tcPr>
            <w:tcW w:w="0" w:type="auto"/>
            <w:shd w:val="clear" w:color="auto" w:fill="E5DFEC" w:themeFill="accent4" w:themeFillTint="33"/>
            <w:noWrap/>
            <w:hideMark/>
          </w:tcPr>
          <w:p w:rsidR="002F0A05" w:rsidRPr="002F0A05" w:rsidRDefault="002F0A05" w:rsidP="00FD7436">
            <w:pPr>
              <w:jc w:val="right"/>
            </w:pPr>
            <w:r w:rsidRPr="002F0A05">
              <w:t>4.6</w:t>
            </w:r>
          </w:p>
        </w:tc>
        <w:tc>
          <w:tcPr>
            <w:tcW w:w="0" w:type="auto"/>
            <w:shd w:val="clear" w:color="auto" w:fill="E5DFEC" w:themeFill="accent4" w:themeFillTint="33"/>
            <w:noWrap/>
            <w:hideMark/>
          </w:tcPr>
          <w:p w:rsidR="002F0A05" w:rsidRPr="002F0A05" w:rsidRDefault="002F0A05" w:rsidP="00FD7436">
            <w:pPr>
              <w:jc w:val="right"/>
            </w:pPr>
            <w:r w:rsidRPr="002F0A05">
              <w:t>4.2</w:t>
            </w:r>
          </w:p>
        </w:tc>
        <w:tc>
          <w:tcPr>
            <w:tcW w:w="0" w:type="auto"/>
            <w:shd w:val="clear" w:color="auto" w:fill="E5DFEC" w:themeFill="accent4" w:themeFillTint="33"/>
            <w:noWrap/>
            <w:hideMark/>
          </w:tcPr>
          <w:p w:rsidR="002F0A05" w:rsidRPr="002F0A05" w:rsidRDefault="002F0A05" w:rsidP="00FD7436">
            <w:pPr>
              <w:jc w:val="right"/>
            </w:pPr>
            <w:r w:rsidRPr="002F0A05">
              <w:t>3.9</w:t>
            </w:r>
          </w:p>
        </w:tc>
        <w:tc>
          <w:tcPr>
            <w:tcW w:w="0" w:type="auto"/>
            <w:shd w:val="clear" w:color="auto" w:fill="E5DFEC" w:themeFill="accent4" w:themeFillTint="33"/>
            <w:noWrap/>
            <w:hideMark/>
          </w:tcPr>
          <w:p w:rsidR="002F0A05" w:rsidRPr="002F0A05" w:rsidRDefault="002F0A05" w:rsidP="00FD7436">
            <w:pPr>
              <w:jc w:val="right"/>
            </w:pPr>
            <w:r w:rsidRPr="002F0A05">
              <w:t>2.8</w:t>
            </w:r>
          </w:p>
        </w:tc>
        <w:tc>
          <w:tcPr>
            <w:tcW w:w="0" w:type="auto"/>
            <w:shd w:val="clear" w:color="auto" w:fill="E5DFEC" w:themeFill="accent4" w:themeFillTint="33"/>
            <w:noWrap/>
            <w:hideMark/>
          </w:tcPr>
          <w:p w:rsidR="002F0A05" w:rsidRPr="002F0A05" w:rsidRDefault="002F0A05" w:rsidP="00FD7436">
            <w:pPr>
              <w:jc w:val="right"/>
            </w:pPr>
            <w:r w:rsidRPr="002F0A05">
              <w:t>2.5</w:t>
            </w:r>
          </w:p>
        </w:tc>
        <w:tc>
          <w:tcPr>
            <w:tcW w:w="0" w:type="auto"/>
            <w:shd w:val="clear" w:color="auto" w:fill="E5DFEC" w:themeFill="accent4" w:themeFillTint="33"/>
            <w:noWrap/>
            <w:hideMark/>
          </w:tcPr>
          <w:p w:rsidR="002F0A05" w:rsidRPr="002F0A05" w:rsidRDefault="002F0A05" w:rsidP="00FD7436">
            <w:pPr>
              <w:jc w:val="right"/>
            </w:pPr>
            <w:r w:rsidRPr="002F0A05">
              <w:t>1.9</w:t>
            </w:r>
          </w:p>
        </w:tc>
        <w:tc>
          <w:tcPr>
            <w:tcW w:w="0" w:type="auto"/>
            <w:shd w:val="clear" w:color="auto" w:fill="E5DFEC" w:themeFill="accent4" w:themeFillTint="33"/>
            <w:noWrap/>
            <w:hideMark/>
          </w:tcPr>
          <w:p w:rsidR="002F0A05" w:rsidRPr="002F0A05" w:rsidRDefault="002F0A05" w:rsidP="00FD7436">
            <w:pPr>
              <w:jc w:val="right"/>
            </w:pPr>
            <w:r w:rsidRPr="002F0A05">
              <w:t>1.1</w:t>
            </w:r>
          </w:p>
        </w:tc>
        <w:tc>
          <w:tcPr>
            <w:tcW w:w="0" w:type="auto"/>
            <w:shd w:val="clear" w:color="auto" w:fill="E5DFEC" w:themeFill="accent4" w:themeFillTint="33"/>
            <w:noWrap/>
            <w:hideMark/>
          </w:tcPr>
          <w:p w:rsidR="002F0A05" w:rsidRPr="002F0A05" w:rsidRDefault="002F0A05" w:rsidP="00FD7436">
            <w:pPr>
              <w:jc w:val="right"/>
            </w:pPr>
            <w:r w:rsidRPr="002F0A05">
              <w:t>0.3</w:t>
            </w:r>
          </w:p>
        </w:tc>
      </w:tr>
      <w:tr w:rsidR="00FD7436" w:rsidRPr="002F0A05" w:rsidTr="002F0A05">
        <w:trPr>
          <w:trHeight w:val="300"/>
        </w:trPr>
        <w:tc>
          <w:tcPr>
            <w:tcW w:w="0" w:type="auto"/>
            <w:shd w:val="clear" w:color="auto" w:fill="E5DFEC" w:themeFill="accent4" w:themeFillTint="33"/>
          </w:tcPr>
          <w:p w:rsidR="002F0A05" w:rsidRPr="002F0A05" w:rsidRDefault="002F0A05"/>
        </w:tc>
        <w:tc>
          <w:tcPr>
            <w:tcW w:w="0" w:type="auto"/>
            <w:shd w:val="clear" w:color="auto" w:fill="E5DFEC" w:themeFill="accent4" w:themeFillTint="33"/>
            <w:noWrap/>
            <w:hideMark/>
          </w:tcPr>
          <w:p w:rsidR="002F0A05" w:rsidRPr="002F0A05" w:rsidRDefault="002F0A05">
            <w:r w:rsidRPr="002F0A05">
              <w:t>Focus (1%)</w:t>
            </w:r>
          </w:p>
        </w:tc>
        <w:tc>
          <w:tcPr>
            <w:tcW w:w="0" w:type="auto"/>
            <w:shd w:val="clear" w:color="auto" w:fill="E5DFEC" w:themeFill="accent4" w:themeFillTint="33"/>
            <w:noWrap/>
            <w:hideMark/>
          </w:tcPr>
          <w:p w:rsidR="002F0A05" w:rsidRPr="002F0A05" w:rsidRDefault="002F0A05" w:rsidP="00FD7436">
            <w:pPr>
              <w:jc w:val="right"/>
            </w:pPr>
            <w:r w:rsidRPr="002F0A05">
              <w:t>9.4</w:t>
            </w:r>
          </w:p>
        </w:tc>
        <w:tc>
          <w:tcPr>
            <w:tcW w:w="0" w:type="auto"/>
            <w:shd w:val="clear" w:color="auto" w:fill="E5DFEC" w:themeFill="accent4" w:themeFillTint="33"/>
            <w:noWrap/>
            <w:hideMark/>
          </w:tcPr>
          <w:p w:rsidR="002F0A05" w:rsidRPr="002F0A05" w:rsidRDefault="002F0A05" w:rsidP="00FD7436">
            <w:pPr>
              <w:jc w:val="right"/>
            </w:pPr>
            <w:r w:rsidRPr="002F0A05">
              <w:t>8.4</w:t>
            </w:r>
          </w:p>
        </w:tc>
        <w:tc>
          <w:tcPr>
            <w:tcW w:w="0" w:type="auto"/>
            <w:shd w:val="clear" w:color="auto" w:fill="E5DFEC" w:themeFill="accent4" w:themeFillTint="33"/>
            <w:noWrap/>
            <w:hideMark/>
          </w:tcPr>
          <w:p w:rsidR="002F0A05" w:rsidRPr="002F0A05" w:rsidRDefault="002F0A05" w:rsidP="00FD7436">
            <w:pPr>
              <w:jc w:val="right"/>
            </w:pPr>
            <w:r w:rsidRPr="002F0A05">
              <w:t>7.7</w:t>
            </w:r>
          </w:p>
        </w:tc>
        <w:tc>
          <w:tcPr>
            <w:tcW w:w="0" w:type="auto"/>
            <w:shd w:val="clear" w:color="auto" w:fill="E5DFEC" w:themeFill="accent4" w:themeFillTint="33"/>
            <w:noWrap/>
            <w:hideMark/>
          </w:tcPr>
          <w:p w:rsidR="002F0A05" w:rsidRPr="002F0A05" w:rsidRDefault="002F0A05" w:rsidP="00FD7436">
            <w:pPr>
              <w:jc w:val="right"/>
            </w:pPr>
            <w:r w:rsidRPr="002F0A05">
              <w:t>5.6</w:t>
            </w:r>
          </w:p>
        </w:tc>
        <w:tc>
          <w:tcPr>
            <w:tcW w:w="0" w:type="auto"/>
            <w:shd w:val="clear" w:color="auto" w:fill="E5DFEC" w:themeFill="accent4" w:themeFillTint="33"/>
            <w:noWrap/>
            <w:hideMark/>
          </w:tcPr>
          <w:p w:rsidR="002F0A05" w:rsidRPr="002F0A05" w:rsidRDefault="002F0A05" w:rsidP="00FD7436">
            <w:pPr>
              <w:jc w:val="right"/>
            </w:pPr>
            <w:r w:rsidRPr="002F0A05">
              <w:t>4.8</w:t>
            </w:r>
          </w:p>
        </w:tc>
        <w:tc>
          <w:tcPr>
            <w:tcW w:w="0" w:type="auto"/>
            <w:shd w:val="clear" w:color="auto" w:fill="E5DFEC" w:themeFill="accent4" w:themeFillTint="33"/>
            <w:noWrap/>
            <w:hideMark/>
          </w:tcPr>
          <w:p w:rsidR="002F0A05" w:rsidRPr="002F0A05" w:rsidRDefault="002F0A05" w:rsidP="00FD7436">
            <w:pPr>
              <w:jc w:val="right"/>
            </w:pPr>
            <w:r w:rsidRPr="002F0A05">
              <w:t>3.9</w:t>
            </w:r>
          </w:p>
        </w:tc>
        <w:tc>
          <w:tcPr>
            <w:tcW w:w="0" w:type="auto"/>
            <w:shd w:val="clear" w:color="auto" w:fill="E5DFEC" w:themeFill="accent4" w:themeFillTint="33"/>
            <w:noWrap/>
            <w:hideMark/>
          </w:tcPr>
          <w:p w:rsidR="002F0A05" w:rsidRPr="002F0A05" w:rsidRDefault="002F0A05" w:rsidP="00FD7436">
            <w:pPr>
              <w:jc w:val="right"/>
            </w:pPr>
            <w:r w:rsidRPr="002F0A05">
              <w:t>2.2</w:t>
            </w:r>
          </w:p>
        </w:tc>
        <w:tc>
          <w:tcPr>
            <w:tcW w:w="0" w:type="auto"/>
            <w:shd w:val="clear" w:color="auto" w:fill="E5DFEC" w:themeFill="accent4" w:themeFillTint="33"/>
            <w:noWrap/>
            <w:hideMark/>
          </w:tcPr>
          <w:p w:rsidR="002F0A05" w:rsidRPr="002F0A05" w:rsidRDefault="002F0A05" w:rsidP="00FD7436">
            <w:pPr>
              <w:jc w:val="right"/>
            </w:pPr>
            <w:r w:rsidRPr="002F0A05">
              <w:t>0.5</w:t>
            </w:r>
          </w:p>
        </w:tc>
      </w:tr>
      <w:tr w:rsidR="00A2281E" w:rsidRPr="002F0A05" w:rsidTr="00252788">
        <w:trPr>
          <w:trHeight w:val="269"/>
        </w:trPr>
        <w:tc>
          <w:tcPr>
            <w:tcW w:w="0" w:type="auto"/>
            <w:shd w:val="clear" w:color="auto" w:fill="E5DFEC" w:themeFill="accent4" w:themeFillTint="33"/>
          </w:tcPr>
          <w:p w:rsidR="00A2281E" w:rsidRPr="002F0A05" w:rsidRDefault="00A2281E"/>
        </w:tc>
        <w:tc>
          <w:tcPr>
            <w:tcW w:w="0" w:type="auto"/>
            <w:shd w:val="clear" w:color="auto" w:fill="E5DFEC" w:themeFill="accent4" w:themeFillTint="33"/>
            <w:hideMark/>
          </w:tcPr>
          <w:p w:rsidR="00A2281E" w:rsidRPr="002F0A05" w:rsidRDefault="00A2281E">
            <w:r>
              <w:t>Different spots (</w:t>
            </w:r>
            <w:proofErr w:type="spellStart"/>
            <w:r>
              <w:t>L</w:t>
            </w:r>
            <w:r w:rsidRPr="002F0A05">
              <w:t>ebow</w:t>
            </w:r>
            <w:proofErr w:type="spellEnd"/>
            <w:r w:rsidRPr="002F0A05">
              <w:t>: 2%)</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18.9</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16.7</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15.5</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11.2</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9.6</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7.8</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4.3</w:t>
            </w:r>
          </w:p>
        </w:tc>
        <w:tc>
          <w:tcPr>
            <w:tcW w:w="0" w:type="auto"/>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1.0</w:t>
            </w:r>
          </w:p>
        </w:tc>
      </w:tr>
      <w:tr w:rsidR="00A2281E" w:rsidRPr="002F0A05" w:rsidTr="005A5F16">
        <w:trPr>
          <w:trHeight w:val="288"/>
        </w:trPr>
        <w:tc>
          <w:tcPr>
            <w:tcW w:w="0" w:type="auto"/>
            <w:tcBorders>
              <w:bottom w:val="single" w:sz="4" w:space="0" w:color="auto"/>
            </w:tcBorders>
            <w:shd w:val="clear" w:color="auto" w:fill="E5DFEC" w:themeFill="accent4" w:themeFillTint="33"/>
          </w:tcPr>
          <w:p w:rsidR="00A2281E" w:rsidRPr="002F0A05" w:rsidRDefault="00A2281E"/>
        </w:tc>
        <w:tc>
          <w:tcPr>
            <w:tcW w:w="0" w:type="auto"/>
            <w:tcBorders>
              <w:bottom w:val="single" w:sz="4" w:space="0" w:color="auto"/>
            </w:tcBorders>
            <w:shd w:val="clear" w:color="auto" w:fill="E5DFEC" w:themeFill="accent4" w:themeFillTint="33"/>
            <w:noWrap/>
            <w:hideMark/>
          </w:tcPr>
          <w:p w:rsidR="00A2281E" w:rsidRPr="002F0A05" w:rsidRDefault="00A2281E">
            <w:r w:rsidRPr="002F0A05">
              <w:t>Sibling difference (</w:t>
            </w:r>
            <w:r>
              <w:t>Lebow</w:t>
            </w:r>
            <w:proofErr w:type="gramStart"/>
            <w:r>
              <w:t>:</w:t>
            </w:r>
            <w:r w:rsidRPr="002F0A05">
              <w:t>5</w:t>
            </w:r>
            <w:proofErr w:type="gramEnd"/>
            <w:r w:rsidRPr="002F0A05">
              <w:t>%)</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47.2</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41.8</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38.7</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28.1</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24.1</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19.5</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10.8</w:t>
            </w:r>
          </w:p>
        </w:tc>
        <w:tc>
          <w:tcPr>
            <w:tcW w:w="0" w:type="auto"/>
            <w:tcBorders>
              <w:bottom w:val="single" w:sz="4" w:space="0" w:color="auto"/>
            </w:tcBorders>
            <w:shd w:val="clear" w:color="auto" w:fill="E5DFEC" w:themeFill="accent4" w:themeFillTint="33"/>
            <w:noWrap/>
            <w:vAlign w:val="bottom"/>
            <w:hideMark/>
          </w:tcPr>
          <w:p w:rsidR="00A2281E" w:rsidRDefault="00A2281E">
            <w:pPr>
              <w:jc w:val="right"/>
              <w:rPr>
                <w:rFonts w:ascii="Calibri" w:hAnsi="Calibri"/>
                <w:color w:val="000000"/>
              </w:rPr>
            </w:pPr>
            <w:r>
              <w:rPr>
                <w:rFonts w:ascii="Calibri" w:hAnsi="Calibri"/>
                <w:color w:val="000000"/>
              </w:rPr>
              <w:t>2.6</w:t>
            </w:r>
          </w:p>
        </w:tc>
      </w:tr>
      <w:tr w:rsidR="005A5F16" w:rsidRPr="002F0A05" w:rsidTr="005A5F16">
        <w:trPr>
          <w:trHeight w:val="288"/>
        </w:trPr>
        <w:tc>
          <w:tcPr>
            <w:tcW w:w="0" w:type="auto"/>
            <w:tcBorders>
              <w:top w:val="single" w:sz="4" w:space="0" w:color="auto"/>
            </w:tcBorders>
            <w:shd w:val="clear" w:color="auto" w:fill="auto"/>
          </w:tcPr>
          <w:p w:rsidR="005A5F16" w:rsidRPr="002F0A05" w:rsidRDefault="005A5F16">
            <w:r>
              <w:t>Totals</w:t>
            </w:r>
          </w:p>
        </w:tc>
        <w:tc>
          <w:tcPr>
            <w:tcW w:w="0" w:type="auto"/>
            <w:tcBorders>
              <w:top w:val="single" w:sz="4" w:space="0" w:color="auto"/>
            </w:tcBorders>
            <w:shd w:val="clear" w:color="auto" w:fill="auto"/>
            <w:noWrap/>
          </w:tcPr>
          <w:p w:rsidR="005A5F16" w:rsidRPr="002F0A05" w:rsidRDefault="005A5F16" w:rsidP="00910EF8"/>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c>
          <w:tcPr>
            <w:tcW w:w="0" w:type="auto"/>
            <w:tcBorders>
              <w:top w:val="single" w:sz="4" w:space="0" w:color="auto"/>
            </w:tcBorders>
            <w:shd w:val="clear" w:color="auto" w:fill="auto"/>
            <w:noWrap/>
            <w:vAlign w:val="bottom"/>
          </w:tcPr>
          <w:p w:rsidR="005A5F16" w:rsidRDefault="005A5F16" w:rsidP="00910EF8">
            <w:pPr>
              <w:jc w:val="right"/>
              <w:rPr>
                <w:rFonts w:ascii="Calibri" w:hAnsi="Calibri"/>
                <w:color w:val="000000"/>
              </w:rPr>
            </w:pPr>
          </w:p>
        </w:tc>
      </w:tr>
      <w:tr w:rsidR="005A5F16" w:rsidRPr="002F0A05" w:rsidTr="005A5F16">
        <w:trPr>
          <w:trHeight w:val="288"/>
        </w:trPr>
        <w:tc>
          <w:tcPr>
            <w:tcW w:w="0" w:type="auto"/>
            <w:tcBorders>
              <w:top w:val="single" w:sz="4" w:space="0" w:color="auto"/>
            </w:tcBorders>
            <w:shd w:val="clear" w:color="auto" w:fill="EAF1DD" w:themeFill="accent3" w:themeFillTint="33"/>
          </w:tcPr>
          <w:p w:rsidR="005A5F16" w:rsidRPr="002F0A05" w:rsidRDefault="005A5F16"/>
        </w:tc>
        <w:tc>
          <w:tcPr>
            <w:tcW w:w="0" w:type="auto"/>
            <w:tcBorders>
              <w:top w:val="single" w:sz="4" w:space="0" w:color="auto"/>
            </w:tcBorders>
            <w:shd w:val="clear" w:color="auto" w:fill="EAF1DD" w:themeFill="accent3" w:themeFillTint="33"/>
            <w:noWrap/>
          </w:tcPr>
          <w:p w:rsidR="005A5F16" w:rsidRPr="002F0A05" w:rsidRDefault="005A5F16" w:rsidP="00910EF8">
            <w:r w:rsidRPr="002F0A05">
              <w:t>stat uncertainty</w:t>
            </w:r>
            <w:r>
              <w:t xml:space="preserve"> (nm)</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36.7</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10.5</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13.1</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11.0</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10.5</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5.2</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2.6</w:t>
            </w:r>
          </w:p>
        </w:tc>
        <w:tc>
          <w:tcPr>
            <w:tcW w:w="0" w:type="auto"/>
            <w:tcBorders>
              <w:top w:val="single" w:sz="4" w:space="0" w:color="auto"/>
            </w:tcBorders>
            <w:shd w:val="clear" w:color="auto" w:fill="EAF1DD" w:themeFill="accent3" w:themeFillTint="33"/>
            <w:noWrap/>
            <w:vAlign w:val="bottom"/>
          </w:tcPr>
          <w:p w:rsidR="005A5F16" w:rsidRDefault="005A5F16" w:rsidP="00910EF8">
            <w:pPr>
              <w:jc w:val="right"/>
              <w:rPr>
                <w:rFonts w:ascii="Calibri" w:hAnsi="Calibri"/>
                <w:color w:val="000000"/>
              </w:rPr>
            </w:pPr>
            <w:r>
              <w:rPr>
                <w:rFonts w:ascii="Calibri" w:hAnsi="Calibri"/>
                <w:color w:val="000000"/>
              </w:rPr>
              <w:t>3.1</w:t>
            </w:r>
          </w:p>
        </w:tc>
      </w:tr>
      <w:tr w:rsidR="005A5F16" w:rsidRPr="002F0A05" w:rsidTr="00252788">
        <w:trPr>
          <w:trHeight w:val="288"/>
        </w:trPr>
        <w:tc>
          <w:tcPr>
            <w:tcW w:w="0" w:type="auto"/>
            <w:shd w:val="clear" w:color="auto" w:fill="E5DFEC" w:themeFill="accent4" w:themeFillTint="33"/>
          </w:tcPr>
          <w:p w:rsidR="005A5F16" w:rsidRPr="002F0A05" w:rsidRDefault="005A5F16"/>
        </w:tc>
        <w:tc>
          <w:tcPr>
            <w:tcW w:w="0" w:type="auto"/>
            <w:shd w:val="clear" w:color="auto" w:fill="E5DFEC" w:themeFill="accent4" w:themeFillTint="33"/>
            <w:noWrap/>
          </w:tcPr>
          <w:p w:rsidR="005A5F16" w:rsidRPr="002F0A05" w:rsidRDefault="005A5F16" w:rsidP="00910EF8">
            <w:proofErr w:type="spellStart"/>
            <w:r w:rsidRPr="002F0A05">
              <w:t>syst</w:t>
            </w:r>
            <w:proofErr w:type="spellEnd"/>
            <w:r w:rsidRPr="002F0A05">
              <w:t xml:space="preserve"> uncertainty</w:t>
            </w:r>
            <w:r>
              <w:t xml:space="preserve"> (nm)</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55.6</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46.7</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43.8</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31.9</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27.7</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22.9</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12.2</w:t>
            </w:r>
          </w:p>
        </w:tc>
        <w:tc>
          <w:tcPr>
            <w:tcW w:w="0" w:type="auto"/>
            <w:shd w:val="clear" w:color="auto" w:fill="E5DFEC" w:themeFill="accent4" w:themeFillTint="33"/>
            <w:noWrap/>
            <w:vAlign w:val="bottom"/>
          </w:tcPr>
          <w:p w:rsidR="005A5F16" w:rsidRDefault="005A5F16" w:rsidP="00910EF8">
            <w:pPr>
              <w:jc w:val="right"/>
              <w:rPr>
                <w:rFonts w:ascii="Calibri" w:hAnsi="Calibri"/>
                <w:color w:val="000000"/>
              </w:rPr>
            </w:pPr>
            <w:r>
              <w:rPr>
                <w:rFonts w:ascii="Calibri" w:hAnsi="Calibri"/>
                <w:color w:val="000000"/>
              </w:rPr>
              <w:t>4.1</w:t>
            </w:r>
          </w:p>
        </w:tc>
      </w:tr>
      <w:tr w:rsidR="005A5F16" w:rsidRPr="002F0A05" w:rsidTr="005A5F16">
        <w:trPr>
          <w:trHeight w:val="288"/>
        </w:trPr>
        <w:tc>
          <w:tcPr>
            <w:tcW w:w="0" w:type="auto"/>
            <w:shd w:val="clear" w:color="auto" w:fill="auto"/>
          </w:tcPr>
          <w:p w:rsidR="005A5F16" w:rsidRPr="002F0A05" w:rsidRDefault="005A5F16"/>
        </w:tc>
        <w:tc>
          <w:tcPr>
            <w:tcW w:w="0" w:type="auto"/>
            <w:shd w:val="clear" w:color="auto" w:fill="auto"/>
            <w:noWrap/>
          </w:tcPr>
          <w:p w:rsidR="005A5F16" w:rsidRPr="005A5F16" w:rsidRDefault="005A5F16" w:rsidP="00910EF8">
            <w:pPr>
              <w:rPr>
                <w:b/>
              </w:rPr>
            </w:pPr>
            <w:r w:rsidRPr="005A5F16">
              <w:rPr>
                <w:b/>
              </w:rPr>
              <w:t>total uncertainty (nm)</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66.6</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47.9</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45.7</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33.7</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29.6</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23.5</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12.5</w:t>
            </w:r>
          </w:p>
        </w:tc>
        <w:tc>
          <w:tcPr>
            <w:tcW w:w="0" w:type="auto"/>
            <w:shd w:val="clear" w:color="auto" w:fill="auto"/>
            <w:noWrap/>
            <w:vAlign w:val="bottom"/>
          </w:tcPr>
          <w:p w:rsidR="005A5F16" w:rsidRPr="005A5F16" w:rsidRDefault="005A5F16" w:rsidP="00910EF8">
            <w:pPr>
              <w:jc w:val="right"/>
              <w:rPr>
                <w:rFonts w:ascii="Calibri" w:hAnsi="Calibri"/>
                <w:b/>
                <w:color w:val="000000"/>
              </w:rPr>
            </w:pPr>
            <w:r w:rsidRPr="005A5F16">
              <w:rPr>
                <w:rFonts w:ascii="Calibri" w:hAnsi="Calibri"/>
                <w:b/>
                <w:color w:val="000000"/>
              </w:rPr>
              <w:t>5.1</w:t>
            </w:r>
          </w:p>
        </w:tc>
      </w:tr>
    </w:tbl>
    <w:p w:rsidR="002F0A05" w:rsidRDefault="002F0A05"/>
    <w:p w:rsidR="002F0A05" w:rsidRDefault="002F0A05"/>
    <w:p w:rsidR="00DD2535" w:rsidRPr="0075206A" w:rsidRDefault="0075206A">
      <w:pPr>
        <w:sectPr w:rsidR="00DD2535" w:rsidRPr="0075206A" w:rsidSect="00C56CCA">
          <w:pgSz w:w="12240" w:h="15840"/>
          <w:pgMar w:top="1440" w:right="1440" w:bottom="1440" w:left="1440" w:header="720" w:footer="720" w:gutter="0"/>
          <w:cols w:space="720"/>
          <w:docGrid w:linePitch="360"/>
        </w:sectPr>
      </w:pPr>
      <w:r>
        <w:br w:type="page"/>
      </w:r>
    </w:p>
    <w:p w:rsidR="00CE4A45" w:rsidRPr="00E666C3" w:rsidRDefault="00CE4A45" w:rsidP="008231DD"/>
    <w:sectPr w:rsidR="00CE4A45" w:rsidRPr="00E666C3" w:rsidSect="008503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BE" w:rsidRDefault="00AF06BE" w:rsidP="00E10B1E">
      <w:pPr>
        <w:spacing w:after="0" w:line="240" w:lineRule="auto"/>
      </w:pPr>
      <w:r>
        <w:separator/>
      </w:r>
    </w:p>
  </w:endnote>
  <w:endnote w:type="continuationSeparator" w:id="0">
    <w:p w:rsidR="00AF06BE" w:rsidRDefault="00AF06BE" w:rsidP="00E10B1E">
      <w:pPr>
        <w:spacing w:after="0" w:line="240" w:lineRule="auto"/>
      </w:pPr>
      <w:r>
        <w:continuationSeparator/>
      </w:r>
    </w:p>
  </w:endnote>
  <w:endnote w:id="1">
    <w:p w:rsidR="00E10B1E" w:rsidRDefault="00E10B1E">
      <w:pPr>
        <w:pStyle w:val="EndnoteText"/>
      </w:pPr>
      <w:r>
        <w:rPr>
          <w:rStyle w:val="EndnoteReference"/>
        </w:rPr>
        <w:endnoteRef/>
      </w:r>
      <w:r>
        <w:t xml:space="preserve"> ImageJ software site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BE" w:rsidRDefault="00AF06BE" w:rsidP="00E10B1E">
      <w:pPr>
        <w:spacing w:after="0" w:line="240" w:lineRule="auto"/>
      </w:pPr>
      <w:r>
        <w:separator/>
      </w:r>
    </w:p>
  </w:footnote>
  <w:footnote w:type="continuationSeparator" w:id="0">
    <w:p w:rsidR="00AF06BE" w:rsidRDefault="00AF06BE" w:rsidP="00E10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4DD4"/>
    <w:multiLevelType w:val="hybridMultilevel"/>
    <w:tmpl w:val="1B24A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E953F6"/>
    <w:multiLevelType w:val="hybridMultilevel"/>
    <w:tmpl w:val="1B24A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DE3"/>
    <w:rsid w:val="00020C7C"/>
    <w:rsid w:val="00047A20"/>
    <w:rsid w:val="000742DC"/>
    <w:rsid w:val="0008381A"/>
    <w:rsid w:val="000916D9"/>
    <w:rsid w:val="000E5493"/>
    <w:rsid w:val="000E67FE"/>
    <w:rsid w:val="000F10E6"/>
    <w:rsid w:val="00154EB5"/>
    <w:rsid w:val="00192EB3"/>
    <w:rsid w:val="002A4CD0"/>
    <w:rsid w:val="002F0A05"/>
    <w:rsid w:val="00300F43"/>
    <w:rsid w:val="00311835"/>
    <w:rsid w:val="00326A6F"/>
    <w:rsid w:val="00345C83"/>
    <w:rsid w:val="003553C8"/>
    <w:rsid w:val="003600CB"/>
    <w:rsid w:val="003E5F19"/>
    <w:rsid w:val="003F457B"/>
    <w:rsid w:val="004143A0"/>
    <w:rsid w:val="00414A24"/>
    <w:rsid w:val="00461D21"/>
    <w:rsid w:val="00467DE8"/>
    <w:rsid w:val="005102DD"/>
    <w:rsid w:val="00583381"/>
    <w:rsid w:val="005A5F16"/>
    <w:rsid w:val="005D40BF"/>
    <w:rsid w:val="005E4055"/>
    <w:rsid w:val="00635DAF"/>
    <w:rsid w:val="006517C7"/>
    <w:rsid w:val="006B250F"/>
    <w:rsid w:val="00707993"/>
    <w:rsid w:val="0075206A"/>
    <w:rsid w:val="007973A6"/>
    <w:rsid w:val="007A09B2"/>
    <w:rsid w:val="007A510F"/>
    <w:rsid w:val="007B6CD8"/>
    <w:rsid w:val="008231DD"/>
    <w:rsid w:val="0085031F"/>
    <w:rsid w:val="0089498D"/>
    <w:rsid w:val="008F2888"/>
    <w:rsid w:val="00903105"/>
    <w:rsid w:val="0093251B"/>
    <w:rsid w:val="00943E53"/>
    <w:rsid w:val="00986629"/>
    <w:rsid w:val="009A5F2B"/>
    <w:rsid w:val="009B44CC"/>
    <w:rsid w:val="009C02B7"/>
    <w:rsid w:val="009F4A7E"/>
    <w:rsid w:val="00A2281E"/>
    <w:rsid w:val="00A228E3"/>
    <w:rsid w:val="00A44131"/>
    <w:rsid w:val="00AB29B1"/>
    <w:rsid w:val="00AE212B"/>
    <w:rsid w:val="00AF06BE"/>
    <w:rsid w:val="00B17EAB"/>
    <w:rsid w:val="00BE2913"/>
    <w:rsid w:val="00BF4A93"/>
    <w:rsid w:val="00C01176"/>
    <w:rsid w:val="00C56CCA"/>
    <w:rsid w:val="00C7007F"/>
    <w:rsid w:val="00CE4A45"/>
    <w:rsid w:val="00CF561F"/>
    <w:rsid w:val="00D05239"/>
    <w:rsid w:val="00D37DE3"/>
    <w:rsid w:val="00DD2535"/>
    <w:rsid w:val="00E10B1E"/>
    <w:rsid w:val="00E666C3"/>
    <w:rsid w:val="00EB3CDC"/>
    <w:rsid w:val="00EE2F73"/>
    <w:rsid w:val="00EF3C82"/>
    <w:rsid w:val="00FA62C5"/>
    <w:rsid w:val="00FB4AEE"/>
    <w:rsid w:val="00FD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3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66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51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3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38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8E3"/>
    <w:pPr>
      <w:ind w:left="720"/>
      <w:contextualSpacing/>
    </w:pPr>
  </w:style>
  <w:style w:type="character" w:customStyle="1" w:styleId="Heading3Char">
    <w:name w:val="Heading 3 Char"/>
    <w:basedOn w:val="DefaultParagraphFont"/>
    <w:link w:val="Heading3"/>
    <w:uiPriority w:val="9"/>
    <w:rsid w:val="00E666C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54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B5"/>
    <w:rPr>
      <w:rFonts w:ascii="Tahoma" w:hAnsi="Tahoma" w:cs="Tahoma"/>
      <w:sz w:val="16"/>
      <w:szCs w:val="16"/>
    </w:rPr>
  </w:style>
  <w:style w:type="paragraph" w:styleId="EndnoteText">
    <w:name w:val="endnote text"/>
    <w:basedOn w:val="Normal"/>
    <w:link w:val="EndnoteTextChar"/>
    <w:uiPriority w:val="99"/>
    <w:semiHidden/>
    <w:unhideWhenUsed/>
    <w:rsid w:val="00E10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0B1E"/>
    <w:rPr>
      <w:sz w:val="20"/>
      <w:szCs w:val="20"/>
    </w:rPr>
  </w:style>
  <w:style w:type="character" w:styleId="EndnoteReference">
    <w:name w:val="endnote reference"/>
    <w:basedOn w:val="DefaultParagraphFont"/>
    <w:uiPriority w:val="99"/>
    <w:semiHidden/>
    <w:unhideWhenUsed/>
    <w:rsid w:val="00E10B1E"/>
    <w:rPr>
      <w:vertAlign w:val="superscript"/>
    </w:rPr>
  </w:style>
  <w:style w:type="character" w:customStyle="1" w:styleId="Heading4Char">
    <w:name w:val="Heading 4 Char"/>
    <w:basedOn w:val="DefaultParagraphFont"/>
    <w:link w:val="Heading4"/>
    <w:uiPriority w:val="9"/>
    <w:rsid w:val="007A510F"/>
    <w:rPr>
      <w:rFonts w:asciiTheme="majorHAnsi" w:eastAsiaTheme="majorEastAsia" w:hAnsiTheme="majorHAnsi" w:cstheme="majorBidi"/>
      <w:b/>
      <w:bCs/>
      <w:i/>
      <w:iCs/>
      <w:color w:val="4F81BD" w:themeColor="accent1"/>
    </w:rPr>
  </w:style>
  <w:style w:type="table" w:styleId="MediumGrid3">
    <w:name w:val="Medium Grid 3"/>
    <w:basedOn w:val="TableNormal"/>
    <w:uiPriority w:val="69"/>
    <w:rsid w:val="00DD25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2">
    <w:name w:val="Medium List 2"/>
    <w:basedOn w:val="TableNormal"/>
    <w:uiPriority w:val="66"/>
    <w:rsid w:val="00DD25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D25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3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33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66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510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3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338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583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28E3"/>
    <w:pPr>
      <w:ind w:left="720"/>
      <w:contextualSpacing/>
    </w:pPr>
  </w:style>
  <w:style w:type="character" w:customStyle="1" w:styleId="Heading3Char">
    <w:name w:val="Heading 3 Char"/>
    <w:basedOn w:val="DefaultParagraphFont"/>
    <w:link w:val="Heading3"/>
    <w:uiPriority w:val="9"/>
    <w:rsid w:val="00E666C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54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EB5"/>
    <w:rPr>
      <w:rFonts w:ascii="Tahoma" w:hAnsi="Tahoma" w:cs="Tahoma"/>
      <w:sz w:val="16"/>
      <w:szCs w:val="16"/>
    </w:rPr>
  </w:style>
  <w:style w:type="paragraph" w:styleId="EndnoteText">
    <w:name w:val="endnote text"/>
    <w:basedOn w:val="Normal"/>
    <w:link w:val="EndnoteTextChar"/>
    <w:uiPriority w:val="99"/>
    <w:semiHidden/>
    <w:unhideWhenUsed/>
    <w:rsid w:val="00E10B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0B1E"/>
    <w:rPr>
      <w:sz w:val="20"/>
      <w:szCs w:val="20"/>
    </w:rPr>
  </w:style>
  <w:style w:type="character" w:styleId="EndnoteReference">
    <w:name w:val="endnote reference"/>
    <w:basedOn w:val="DefaultParagraphFont"/>
    <w:uiPriority w:val="99"/>
    <w:semiHidden/>
    <w:unhideWhenUsed/>
    <w:rsid w:val="00E10B1E"/>
    <w:rPr>
      <w:vertAlign w:val="superscript"/>
    </w:rPr>
  </w:style>
  <w:style w:type="character" w:customStyle="1" w:styleId="Heading4Char">
    <w:name w:val="Heading 4 Char"/>
    <w:basedOn w:val="DefaultParagraphFont"/>
    <w:link w:val="Heading4"/>
    <w:uiPriority w:val="9"/>
    <w:rsid w:val="007A510F"/>
    <w:rPr>
      <w:rFonts w:asciiTheme="majorHAnsi" w:eastAsiaTheme="majorEastAsia" w:hAnsiTheme="majorHAnsi" w:cstheme="majorBidi"/>
      <w:b/>
      <w:bCs/>
      <w:i/>
      <w:iCs/>
      <w:color w:val="4F81BD" w:themeColor="accent1"/>
    </w:rPr>
  </w:style>
  <w:style w:type="table" w:styleId="MediumGrid3">
    <w:name w:val="Medium Grid 3"/>
    <w:basedOn w:val="TableNormal"/>
    <w:uiPriority w:val="69"/>
    <w:rsid w:val="00DD25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2">
    <w:name w:val="Medium List 2"/>
    <w:basedOn w:val="TableNormal"/>
    <w:uiPriority w:val="66"/>
    <w:rsid w:val="00DD25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DD253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8325">
      <w:bodyDiv w:val="1"/>
      <w:marLeft w:val="0"/>
      <w:marRight w:val="0"/>
      <w:marTop w:val="0"/>
      <w:marBottom w:val="0"/>
      <w:divBdr>
        <w:top w:val="none" w:sz="0" w:space="0" w:color="auto"/>
        <w:left w:val="none" w:sz="0" w:space="0" w:color="auto"/>
        <w:bottom w:val="none" w:sz="0" w:space="0" w:color="auto"/>
        <w:right w:val="none" w:sz="0" w:space="0" w:color="auto"/>
      </w:divBdr>
    </w:div>
    <w:div w:id="548152050">
      <w:bodyDiv w:val="1"/>
      <w:marLeft w:val="0"/>
      <w:marRight w:val="0"/>
      <w:marTop w:val="0"/>
      <w:marBottom w:val="0"/>
      <w:divBdr>
        <w:top w:val="none" w:sz="0" w:space="0" w:color="auto"/>
        <w:left w:val="none" w:sz="0" w:space="0" w:color="auto"/>
        <w:bottom w:val="none" w:sz="0" w:space="0" w:color="auto"/>
        <w:right w:val="none" w:sz="0" w:space="0" w:color="auto"/>
      </w:divBdr>
    </w:div>
    <w:div w:id="851794904">
      <w:bodyDiv w:val="1"/>
      <w:marLeft w:val="0"/>
      <w:marRight w:val="0"/>
      <w:marTop w:val="0"/>
      <w:marBottom w:val="0"/>
      <w:divBdr>
        <w:top w:val="none" w:sz="0" w:space="0" w:color="auto"/>
        <w:left w:val="none" w:sz="0" w:space="0" w:color="auto"/>
        <w:bottom w:val="none" w:sz="0" w:space="0" w:color="auto"/>
        <w:right w:val="none" w:sz="0" w:space="0" w:color="auto"/>
      </w:divBdr>
    </w:div>
    <w:div w:id="1102144427">
      <w:bodyDiv w:val="1"/>
      <w:marLeft w:val="0"/>
      <w:marRight w:val="0"/>
      <w:marTop w:val="0"/>
      <w:marBottom w:val="0"/>
      <w:divBdr>
        <w:top w:val="none" w:sz="0" w:space="0" w:color="auto"/>
        <w:left w:val="none" w:sz="0" w:space="0" w:color="auto"/>
        <w:bottom w:val="none" w:sz="0" w:space="0" w:color="auto"/>
        <w:right w:val="none" w:sz="0" w:space="0" w:color="auto"/>
      </w:divBdr>
    </w:div>
    <w:div w:id="1288656150">
      <w:bodyDiv w:val="1"/>
      <w:marLeft w:val="0"/>
      <w:marRight w:val="0"/>
      <w:marTop w:val="0"/>
      <w:marBottom w:val="0"/>
      <w:divBdr>
        <w:top w:val="none" w:sz="0" w:space="0" w:color="auto"/>
        <w:left w:val="none" w:sz="0" w:space="0" w:color="auto"/>
        <w:bottom w:val="none" w:sz="0" w:space="0" w:color="auto"/>
        <w:right w:val="none" w:sz="0" w:space="0" w:color="auto"/>
      </w:divBdr>
    </w:div>
    <w:div w:id="1394113213">
      <w:bodyDiv w:val="1"/>
      <w:marLeft w:val="0"/>
      <w:marRight w:val="0"/>
      <w:marTop w:val="0"/>
      <w:marBottom w:val="0"/>
      <w:divBdr>
        <w:top w:val="none" w:sz="0" w:space="0" w:color="auto"/>
        <w:left w:val="none" w:sz="0" w:space="0" w:color="auto"/>
        <w:bottom w:val="none" w:sz="0" w:space="0" w:color="auto"/>
        <w:right w:val="none" w:sz="0" w:space="0" w:color="auto"/>
      </w:divBdr>
    </w:div>
    <w:div w:id="1620070369">
      <w:bodyDiv w:val="1"/>
      <w:marLeft w:val="0"/>
      <w:marRight w:val="0"/>
      <w:marTop w:val="0"/>
      <w:marBottom w:val="0"/>
      <w:divBdr>
        <w:top w:val="none" w:sz="0" w:space="0" w:color="auto"/>
        <w:left w:val="none" w:sz="0" w:space="0" w:color="auto"/>
        <w:bottom w:val="none" w:sz="0" w:space="0" w:color="auto"/>
        <w:right w:val="none" w:sz="0" w:space="0" w:color="auto"/>
      </w:divBdr>
    </w:div>
    <w:div w:id="1690182947">
      <w:bodyDiv w:val="1"/>
      <w:marLeft w:val="0"/>
      <w:marRight w:val="0"/>
      <w:marTop w:val="0"/>
      <w:marBottom w:val="0"/>
      <w:divBdr>
        <w:top w:val="none" w:sz="0" w:space="0" w:color="auto"/>
        <w:left w:val="none" w:sz="0" w:space="0" w:color="auto"/>
        <w:bottom w:val="none" w:sz="0" w:space="0" w:color="auto"/>
        <w:right w:val="none" w:sz="0" w:space="0" w:color="auto"/>
      </w:divBdr>
    </w:div>
    <w:div w:id="1776435103">
      <w:bodyDiv w:val="1"/>
      <w:marLeft w:val="0"/>
      <w:marRight w:val="0"/>
      <w:marTop w:val="0"/>
      <w:marBottom w:val="0"/>
      <w:divBdr>
        <w:top w:val="none" w:sz="0" w:space="0" w:color="auto"/>
        <w:left w:val="none" w:sz="0" w:space="0" w:color="auto"/>
        <w:bottom w:val="none" w:sz="0" w:space="0" w:color="auto"/>
        <w:right w:val="none" w:sz="0" w:space="0" w:color="auto"/>
      </w:divBdr>
    </w:div>
    <w:div w:id="1791127145">
      <w:bodyDiv w:val="1"/>
      <w:marLeft w:val="0"/>
      <w:marRight w:val="0"/>
      <w:marTop w:val="0"/>
      <w:marBottom w:val="0"/>
      <w:divBdr>
        <w:top w:val="none" w:sz="0" w:space="0" w:color="auto"/>
        <w:left w:val="none" w:sz="0" w:space="0" w:color="auto"/>
        <w:bottom w:val="none" w:sz="0" w:space="0" w:color="auto"/>
        <w:right w:val="none" w:sz="0" w:space="0" w:color="auto"/>
      </w:divBdr>
    </w:div>
    <w:div w:id="1924946036">
      <w:bodyDiv w:val="1"/>
      <w:marLeft w:val="0"/>
      <w:marRight w:val="0"/>
      <w:marTop w:val="0"/>
      <w:marBottom w:val="0"/>
      <w:divBdr>
        <w:top w:val="none" w:sz="0" w:space="0" w:color="auto"/>
        <w:left w:val="none" w:sz="0" w:space="0" w:color="auto"/>
        <w:bottom w:val="none" w:sz="0" w:space="0" w:color="auto"/>
        <w:right w:val="none" w:sz="0" w:space="0" w:color="auto"/>
      </w:divBdr>
    </w:div>
    <w:div w:id="1926114389">
      <w:bodyDiv w:val="1"/>
      <w:marLeft w:val="0"/>
      <w:marRight w:val="0"/>
      <w:marTop w:val="0"/>
      <w:marBottom w:val="0"/>
      <w:divBdr>
        <w:top w:val="none" w:sz="0" w:space="0" w:color="auto"/>
        <w:left w:val="none" w:sz="0" w:space="0" w:color="auto"/>
        <w:bottom w:val="none" w:sz="0" w:space="0" w:color="auto"/>
        <w:right w:val="none" w:sz="0" w:space="0" w:color="auto"/>
      </w:divBdr>
    </w:div>
    <w:div w:id="1936863430">
      <w:bodyDiv w:val="1"/>
      <w:marLeft w:val="0"/>
      <w:marRight w:val="0"/>
      <w:marTop w:val="0"/>
      <w:marBottom w:val="0"/>
      <w:divBdr>
        <w:top w:val="none" w:sz="0" w:space="0" w:color="auto"/>
        <w:left w:val="none" w:sz="0" w:space="0" w:color="auto"/>
        <w:bottom w:val="none" w:sz="0" w:space="0" w:color="auto"/>
        <w:right w:val="none" w:sz="0" w:space="0" w:color="auto"/>
      </w:divBdr>
    </w:div>
    <w:div w:id="1971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E1416-337C-4859-8174-43CC6C7DA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Marcy Stutzman</dc:creator>
  <cp:lastModifiedBy>Marcy Stutzman</cp:lastModifiedBy>
  <cp:revision>2</cp:revision>
  <dcterms:created xsi:type="dcterms:W3CDTF">2016-02-17T15:33:00Z</dcterms:created>
  <dcterms:modified xsi:type="dcterms:W3CDTF">2016-02-17T15:33:00Z</dcterms:modified>
</cp:coreProperties>
</file>