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CA2893">
              <w:t xml:space="preserve">the SNS PPU </w:t>
            </w:r>
            <w:proofErr w:type="spellStart"/>
            <w:r w:rsidR="00CA2893">
              <w:t>Tophats</w:t>
            </w:r>
            <w:proofErr w:type="spellEnd"/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756FE" w:rsidP="00321107">
            <w:r>
              <w:t>SNSPPU-CST-INSP-TPHT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60243A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6252">
                  <w:t>26</w:t>
                </w:r>
                <w:r w:rsidR="009C5E5E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7F41" w:rsidRPr="00D97B1C" w:rsidTr="00247F41">
        <w:trPr>
          <w:cantSplit/>
          <w:trHeight w:val="503"/>
        </w:trPr>
        <w:tc>
          <w:tcPr>
            <w:tcW w:w="5000" w:type="pct"/>
            <w:gridSpan w:val="5"/>
            <w:vAlign w:val="center"/>
          </w:tcPr>
          <w:p w:rsidR="00247F41" w:rsidRPr="00D97B1C" w:rsidRDefault="00247F41" w:rsidP="00247F41">
            <w:r>
              <w:t>104110000-M8U-8200-A262</w:t>
            </w:r>
            <w:r w:rsidR="00CC4745">
              <w:t>-Rev1</w:t>
            </w:r>
            <w:r>
              <w:t xml:space="preserve"> (TOPHAT WELDMENT)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FB6221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E857B9" w:rsidRPr="00FB6221">
              <w:t>ophats</w:t>
            </w:r>
            <w:proofErr w:type="spellEnd"/>
            <w:r w:rsidR="00E857B9" w:rsidRPr="00FB6221">
              <w:t xml:space="preserve"> contain two </w:t>
            </w:r>
            <w:proofErr w:type="spellStart"/>
            <w:r w:rsidR="00E857B9" w:rsidRPr="00FB6221">
              <w:t>o-ring</w:t>
            </w:r>
            <w:proofErr w:type="spellEnd"/>
            <w:r w:rsidR="00E857B9" w:rsidRPr="00FB6221">
              <w:t xml:space="preserve"> grooves that must be </w:t>
            </w:r>
            <w:r w:rsidRPr="00FB6221">
              <w:t>protected during handling. Care shall b</w:t>
            </w:r>
            <w:r w:rsidR="00FB6221">
              <w:t xml:space="preserve">e taken to not drop the </w:t>
            </w:r>
            <w:proofErr w:type="spellStart"/>
            <w:r w:rsidR="00FB6221">
              <w:t>tophats</w:t>
            </w:r>
            <w:proofErr w:type="spellEnd"/>
            <w:r w:rsidR="00FB6221">
              <w:t xml:space="preserve">. The </w:t>
            </w:r>
            <w:proofErr w:type="spellStart"/>
            <w:r w:rsidR="00FB6221">
              <w:t>tophats</w:t>
            </w:r>
            <w:proofErr w:type="spellEnd"/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E01880">
              <w:t>TPHTSN]] &lt;&lt; TPHT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733060" w:rsidP="00733060">
            <w:r>
              <w:t>V</w:t>
            </w:r>
            <w:r w:rsidR="00BC65C1" w:rsidRPr="00841B2E">
              <w:t xml:space="preserve">isually inspect </w:t>
            </w:r>
            <w:r w:rsidR="0053020B">
              <w:t xml:space="preserve">that the </w:t>
            </w:r>
            <w:r>
              <w:t xml:space="preserve">two </w:t>
            </w:r>
            <w:proofErr w:type="spellStart"/>
            <w:r>
              <w:t>o-ring</w:t>
            </w:r>
            <w:proofErr w:type="spellEnd"/>
            <w:r>
              <w:t xml:space="preserve"> grooves are</w:t>
            </w:r>
            <w:r w:rsidR="0053020B">
              <w:t xml:space="preserve"> smooth and free of scratches/</w:t>
            </w:r>
            <w:proofErr w:type="spellStart"/>
            <w:r w:rsidR="0053020B">
              <w:t>gouges</w:t>
            </w:r>
            <w:r>
              <w:t>.</w:t>
            </w:r>
            <w:r w:rsidR="002F6B2D">
              <w:t>damaged</w:t>
            </w:r>
            <w:r w:rsidR="0053020B">
              <w:t>.Visually</w:t>
            </w:r>
            <w:proofErr w:type="spellEnd"/>
            <w:r w:rsidR="0053020B">
              <w:t xml:space="preserve"> inspect the </w:t>
            </w:r>
            <w:proofErr w:type="spellStart"/>
            <w:r>
              <w:t>tophat</w:t>
            </w:r>
            <w:proofErr w:type="spellEnd"/>
            <w:r w:rsidR="00A20F2E">
              <w:t xml:space="preserve"> </w:t>
            </w:r>
            <w:r w:rsidR="0053020B">
              <w:t>for any damage.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</w:t>
            </w:r>
            <w:proofErr w:type="spellStart"/>
            <w:r w:rsidR="00D55FDF">
              <w:t>SealingSurface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BA103E">
        <w:trPr>
          <w:trHeight w:val="530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60243A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60243A" w:rsidRDefault="0060243A" w:rsidP="00EC44F6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60243A" w:rsidRPr="005831CB" w:rsidRDefault="0060243A" w:rsidP="00EC44F6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60243A" w:rsidRPr="00D97B1C" w:rsidTr="0060243A">
        <w:trPr>
          <w:trHeight w:val="585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60243A" w:rsidRDefault="0060243A" w:rsidP="00A60ED1">
            <w:r>
              <w:t xml:space="preserve">Dimensionally inspect the </w:t>
            </w:r>
            <w:proofErr w:type="spellStart"/>
            <w:r>
              <w:t>tophats</w:t>
            </w:r>
            <w:proofErr w:type="spellEnd"/>
            <w:r>
              <w:t xml:space="preserve"> against the reference drawing listed above. Only </w:t>
            </w:r>
            <w:proofErr w:type="spellStart"/>
            <w:r>
              <w:t>tophats</w:t>
            </w:r>
            <w:proofErr w:type="spellEnd"/>
            <w:r>
              <w:t xml:space="preserve"> with serial numbers ending in 001, 014 and 028 require dimensional inspection. Record the serial numbers and calibration information for all measurement equipment us</w:t>
            </w:r>
            <w:bookmarkStart w:id="0" w:name="_GoBack"/>
            <w:bookmarkEnd w:id="0"/>
            <w:r>
              <w:t>ed.</w:t>
            </w:r>
          </w:p>
        </w:tc>
        <w:tc>
          <w:tcPr>
            <w:tcW w:w="4379" w:type="dxa"/>
            <w:gridSpan w:val="2"/>
          </w:tcPr>
          <w:p w:rsidR="0060243A" w:rsidRDefault="0060243A" w:rsidP="0060243A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60243A" w:rsidRPr="0060243A" w:rsidRDefault="0060243A" w:rsidP="0060243A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60243A" w:rsidRPr="00D97B1C" w:rsidTr="0060243A">
        <w:trPr>
          <w:trHeight w:val="293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60243A" w:rsidRDefault="0060243A" w:rsidP="00A60ED1"/>
        </w:tc>
        <w:tc>
          <w:tcPr>
            <w:tcW w:w="4379" w:type="dxa"/>
            <w:gridSpan w:val="2"/>
          </w:tcPr>
          <w:p w:rsidR="0060243A" w:rsidRPr="0060243A" w:rsidRDefault="0060243A" w:rsidP="00FB44F3">
            <w:r>
              <w:t>Calibration Info</w:t>
            </w:r>
          </w:p>
        </w:tc>
      </w:tr>
      <w:tr w:rsidR="0060243A" w:rsidRPr="00D97B1C" w:rsidTr="00BA103E">
        <w:trPr>
          <w:trHeight w:val="292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60243A" w:rsidRDefault="0060243A" w:rsidP="00A60ED1"/>
        </w:tc>
        <w:tc>
          <w:tcPr>
            <w:tcW w:w="4379" w:type="dxa"/>
            <w:gridSpan w:val="2"/>
          </w:tcPr>
          <w:p w:rsidR="0060243A" w:rsidRDefault="0060243A" w:rsidP="0060243A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60243A" w:rsidRDefault="0060243A" w:rsidP="0060243A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60243A" w:rsidRPr="0060243A" w:rsidRDefault="0060243A" w:rsidP="0060243A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60243A" w:rsidRPr="00D97B1C" w:rsidTr="00BF3B75">
        <w:trPr>
          <w:trHeight w:val="890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</w:tcPr>
          <w:p w:rsidR="0060243A" w:rsidRDefault="0060243A" w:rsidP="00A60ED1">
            <w:r>
              <w:t xml:space="preserve">In order to verify that the </w:t>
            </w:r>
            <w:proofErr w:type="gramStart"/>
            <w:r>
              <w:t>hole</w:t>
            </w:r>
            <w:proofErr w:type="gramEnd"/>
            <w:r>
              <w:t xml:space="preserve"> pattern is correct, mate up a </w:t>
            </w:r>
            <w:proofErr w:type="spellStart"/>
            <w:r>
              <w:t>tophat</w:t>
            </w:r>
            <w:proofErr w:type="spellEnd"/>
            <w:r>
              <w:t xml:space="preserve"> assembly to a </w:t>
            </w:r>
            <w:proofErr w:type="spellStart"/>
            <w:r>
              <w:t>tophat</w:t>
            </w:r>
            <w:proofErr w:type="spellEnd"/>
            <w:r>
              <w:t xml:space="preserve"> bellows assembly (</w:t>
            </w:r>
            <w:r w:rsidRPr="00916931">
              <w:t>104211600-M8U-8200-A051</w:t>
            </w:r>
            <w:r>
              <w:t xml:space="preserve"> rev-) and verify that all screws can be installed </w:t>
            </w:r>
            <w:proofErr w:type="spellStart"/>
            <w:r>
              <w:t>simultanesously</w:t>
            </w:r>
            <w:proofErr w:type="spellEnd"/>
            <w:r>
              <w:t>. Use silicon bronze screws, do not use SS screws.</w:t>
            </w:r>
          </w:p>
        </w:tc>
        <w:tc>
          <w:tcPr>
            <w:tcW w:w="4379" w:type="dxa"/>
            <w:gridSpan w:val="2"/>
            <w:vAlign w:val="center"/>
          </w:tcPr>
          <w:p w:rsidR="0060243A" w:rsidRDefault="0060243A" w:rsidP="003D3F81">
            <w:pPr>
              <w:jc w:val="center"/>
            </w:pPr>
            <w:r>
              <w:t>[[</w:t>
            </w:r>
            <w:proofErr w:type="spellStart"/>
            <w:r>
              <w:t>HolePatternCorrect</w:t>
            </w:r>
            <w:proofErr w:type="spellEnd"/>
            <w:r>
              <w:t>]] &lt;&lt;YESNO</w:t>
            </w:r>
            <w:r w:rsidRPr="00916931">
              <w:t>&gt;&gt;</w:t>
            </w:r>
          </w:p>
        </w:tc>
      </w:tr>
      <w:tr w:rsidR="005D5BEC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544422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544422" w:rsidRPr="005D5BEC" w:rsidRDefault="00544422" w:rsidP="00DF7977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544422" w:rsidRPr="00544422" w:rsidRDefault="00544422" w:rsidP="00DF7977">
            <w:pPr>
              <w:jc w:val="center"/>
            </w:pPr>
            <w:proofErr w:type="spellStart"/>
            <w:r w:rsidRPr="00544422">
              <w:t>Tophat</w:t>
            </w:r>
            <w:proofErr w:type="spellEnd"/>
            <w:r w:rsidRPr="00544422">
              <w:t xml:space="preserve"> overall height</w:t>
            </w:r>
          </w:p>
        </w:tc>
        <w:tc>
          <w:tcPr>
            <w:tcW w:w="2006" w:type="dxa"/>
            <w:vAlign w:val="center"/>
          </w:tcPr>
          <w:p w:rsidR="00544422" w:rsidRPr="00544422" w:rsidRDefault="00544422" w:rsidP="00DF7977">
            <w:pPr>
              <w:jc w:val="center"/>
            </w:pPr>
            <w:r w:rsidRPr="00544422">
              <w:t>4.220</w:t>
            </w:r>
            <w:r>
              <w:t xml:space="preserve"> +/- .010”</w:t>
            </w:r>
          </w:p>
        </w:tc>
        <w:tc>
          <w:tcPr>
            <w:tcW w:w="4379" w:type="dxa"/>
            <w:gridSpan w:val="2"/>
            <w:vAlign w:val="center"/>
          </w:tcPr>
          <w:p w:rsidR="00544422" w:rsidRPr="00780348" w:rsidRDefault="00544422" w:rsidP="00DF7977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A845F1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A845F1" w:rsidRPr="005D5BEC" w:rsidRDefault="00A845F1" w:rsidP="00A845F1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A845F1" w:rsidRPr="00544422" w:rsidRDefault="00A845F1" w:rsidP="00884333">
            <w:pPr>
              <w:jc w:val="center"/>
            </w:pPr>
            <w:r>
              <w:t>Flatness of inner flange</w:t>
            </w:r>
          </w:p>
        </w:tc>
        <w:tc>
          <w:tcPr>
            <w:tcW w:w="2006" w:type="dxa"/>
            <w:vAlign w:val="center"/>
          </w:tcPr>
          <w:p w:rsidR="00A845F1" w:rsidRPr="00544422" w:rsidRDefault="00A845F1" w:rsidP="00884333">
            <w:pPr>
              <w:jc w:val="center"/>
            </w:pPr>
            <w:r>
              <w:t>.003” flatness</w:t>
            </w:r>
          </w:p>
        </w:tc>
        <w:tc>
          <w:tcPr>
            <w:tcW w:w="4379" w:type="dxa"/>
            <w:gridSpan w:val="2"/>
            <w:vAlign w:val="center"/>
          </w:tcPr>
          <w:p w:rsidR="00A845F1" w:rsidRPr="00780348" w:rsidRDefault="00A845F1" w:rsidP="00A845F1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1073BE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1073BE" w:rsidRPr="005D5BEC" w:rsidRDefault="001073BE" w:rsidP="001073BE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1073BE" w:rsidRDefault="001073BE" w:rsidP="00E47FAB">
            <w:pPr>
              <w:jc w:val="center"/>
            </w:pPr>
            <w:r>
              <w:t>Parallelism of outer to inner flange</w:t>
            </w:r>
          </w:p>
        </w:tc>
        <w:tc>
          <w:tcPr>
            <w:tcW w:w="2006" w:type="dxa"/>
            <w:vAlign w:val="center"/>
          </w:tcPr>
          <w:p w:rsidR="001073BE" w:rsidRDefault="001073BE" w:rsidP="00E47FAB">
            <w:pPr>
              <w:jc w:val="center"/>
            </w:pPr>
            <w:r>
              <w:t>.005 parallelism</w:t>
            </w:r>
          </w:p>
        </w:tc>
        <w:tc>
          <w:tcPr>
            <w:tcW w:w="4379" w:type="dxa"/>
            <w:gridSpan w:val="2"/>
            <w:vAlign w:val="center"/>
          </w:tcPr>
          <w:p w:rsidR="001073BE" w:rsidRPr="00780348" w:rsidRDefault="001073BE" w:rsidP="001073BE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1073BE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1073BE" w:rsidRDefault="001073BE" w:rsidP="001073BE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1073BE" w:rsidRDefault="001073BE" w:rsidP="001073BE">
            <w:r>
              <w:rPr>
                <w:b/>
              </w:rPr>
              <w:t>Storage:</w:t>
            </w:r>
          </w:p>
        </w:tc>
      </w:tr>
      <w:tr w:rsidR="001073BE" w:rsidRPr="00D97B1C" w:rsidTr="005D5BEC">
        <w:trPr>
          <w:trHeight w:val="115"/>
        </w:trPr>
        <w:tc>
          <w:tcPr>
            <w:tcW w:w="1294" w:type="dxa"/>
            <w:vMerge/>
          </w:tcPr>
          <w:p w:rsidR="001073BE" w:rsidRDefault="001073BE" w:rsidP="001073BE">
            <w:pPr>
              <w:jc w:val="center"/>
            </w:pPr>
          </w:p>
        </w:tc>
        <w:tc>
          <w:tcPr>
            <w:tcW w:w="7277" w:type="dxa"/>
            <w:gridSpan w:val="3"/>
          </w:tcPr>
          <w:p w:rsidR="001073BE" w:rsidRDefault="001073BE" w:rsidP="001073BE">
            <w:r>
              <w:t xml:space="preserve">Each </w:t>
            </w:r>
            <w:proofErr w:type="spellStart"/>
            <w:r>
              <w:t>tophat</w:t>
            </w:r>
            <w:proofErr w:type="spellEnd"/>
            <w:r>
              <w:t xml:space="preserve"> shall be re-packaged in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original protective packaging.</w:t>
            </w:r>
          </w:p>
        </w:tc>
        <w:tc>
          <w:tcPr>
            <w:tcW w:w="4379" w:type="dxa"/>
            <w:gridSpan w:val="2"/>
            <w:noWrap/>
          </w:tcPr>
          <w:p w:rsidR="001073BE" w:rsidRPr="00841B2E" w:rsidRDefault="001073BE" w:rsidP="001073BE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1073BE" w:rsidRPr="00841B2E" w:rsidRDefault="001073BE" w:rsidP="001073BE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0243A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0243A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0243A">
      <w:rPr>
        <w:noProof/>
      </w:rPr>
      <w:t>3/27/2020 6:32:00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D3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8E8"/>
    <w:rsid w:val="002950CA"/>
    <w:rsid w:val="00296D1C"/>
    <w:rsid w:val="002A7A60"/>
    <w:rsid w:val="002C06D8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CEA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3E03"/>
    <w:rsid w:val="00884333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83237"/>
    <w:rsid w:val="00A841DF"/>
    <w:rsid w:val="00A845F1"/>
    <w:rsid w:val="00A84956"/>
    <w:rsid w:val="00A8728C"/>
    <w:rsid w:val="00A9123F"/>
    <w:rsid w:val="00A918A8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F0020"/>
    <w:rsid w:val="00AF46AF"/>
    <w:rsid w:val="00AF6E84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C27327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9088-1E54-4642-89F4-7C8AFD47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3947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106</cp:revision>
  <cp:lastPrinted>2020-03-11T20:17:00Z</cp:lastPrinted>
  <dcterms:created xsi:type="dcterms:W3CDTF">2020-02-04T10:44:00Z</dcterms:created>
  <dcterms:modified xsi:type="dcterms:W3CDTF">2020-03-30T15:50:00Z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