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B2335D" w:rsidP="00920104">
            <w:r>
              <w:t xml:space="preserve">C75 </w:t>
            </w:r>
            <w:r w:rsidR="00EF4056">
              <w:t xml:space="preserve">Cavity </w:t>
            </w:r>
            <w:r w:rsidR="00920104">
              <w:t>Flange Component</w:t>
            </w:r>
            <w:r w:rsidR="00EF4056">
              <w:t xml:space="preserve"> inspection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EF4056" w:rsidP="00D97B1C">
            <w:r>
              <w:t>The purpose of this traveler is to inspect incoming backing flange components for the C75 project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F4056" w:rsidP="00D97B1C">
            <w:r>
              <w:t>C75-CAV-INSP-FLG-COMP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F4056" w:rsidP="0052412E">
            <w:r>
              <w:t>Kurt Macha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8D09A6" w:rsidP="00D97B1C">
            <w:sdt>
              <w:sdtPr>
                <w:id w:val="534233298"/>
                <w:placeholder>
                  <w:docPart w:val="286FD4D47E534C9DB47F7DA8D6396E6B"/>
                </w:placeholder>
                <w:date w:fullDate="2020-05-0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F4056">
                  <w:t>8-May-20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F4056" w:rsidP="00D97B1C">
            <w:proofErr w:type="spellStart"/>
            <w:r>
              <w:t>Dreyfuss</w:t>
            </w:r>
            <w:proofErr w:type="spellEnd"/>
            <w:r>
              <w:t>, Forehand, Davis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EF4056" w:rsidP="00D97B1C">
            <w:proofErr w:type="spellStart"/>
            <w:r>
              <w:t>Dreyfuss</w:t>
            </w:r>
            <w:proofErr w:type="spellEnd"/>
            <w:r>
              <w:t>, Forehand, Davis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EF4056" w:rsidP="00D97B1C">
            <w:proofErr w:type="spellStart"/>
            <w:r>
              <w:t>Dreyfuss</w:t>
            </w:r>
            <w:proofErr w:type="spellEnd"/>
            <w:r>
              <w:t>, Forehand, Davis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EF4056" w:rsidP="0037791E">
            <w:r>
              <w:t>K Macha</w:t>
            </w:r>
          </w:p>
        </w:tc>
        <w:tc>
          <w:tcPr>
            <w:tcW w:w="1000" w:type="pct"/>
          </w:tcPr>
          <w:p w:rsidR="0037791E" w:rsidRDefault="00EF4056" w:rsidP="0037791E">
            <w:r>
              <w:t xml:space="preserve">Aaron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:rsidR="0037791E" w:rsidRDefault="00EF4056" w:rsidP="0037791E">
            <w:r>
              <w:t>K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8D09A6" w:rsidP="00D97B1C">
            <w:hyperlink r:id="rId7" w:history="1">
              <w:r w:rsidR="00EF4056" w:rsidRPr="00BC00A8">
                <w:rPr>
                  <w:rStyle w:val="Hyperlink"/>
                </w:rPr>
                <w:t>11151-B-0029---Nest Ring</w:t>
              </w:r>
            </w:hyperlink>
          </w:p>
        </w:tc>
        <w:tc>
          <w:tcPr>
            <w:tcW w:w="999" w:type="pct"/>
          </w:tcPr>
          <w:p w:rsidR="007D458D" w:rsidRPr="00D97B1C" w:rsidRDefault="008D09A6" w:rsidP="00D97B1C">
            <w:hyperlink r:id="rId8" w:history="1">
              <w:r w:rsidR="00EF4056" w:rsidRPr="00BC00A8">
                <w:rPr>
                  <w:rStyle w:val="Hyperlink"/>
                </w:rPr>
                <w:t>11151-B-0030---Clamp Ring</w:t>
              </w:r>
            </w:hyperlink>
          </w:p>
        </w:tc>
        <w:tc>
          <w:tcPr>
            <w:tcW w:w="1001" w:type="pct"/>
          </w:tcPr>
          <w:p w:rsidR="007D458D" w:rsidRPr="00D97B1C" w:rsidRDefault="008D09A6" w:rsidP="00D97B1C">
            <w:hyperlink r:id="rId9" w:history="1">
              <w:r w:rsidR="00EF4056" w:rsidRPr="00BC00A8">
                <w:rPr>
                  <w:rStyle w:val="Hyperlink"/>
                </w:rPr>
                <w:t>11151-B-0031---Slip Flange</w:t>
              </w:r>
            </w:hyperlink>
          </w:p>
        </w:tc>
        <w:tc>
          <w:tcPr>
            <w:tcW w:w="1001" w:type="pct"/>
          </w:tcPr>
          <w:p w:rsidR="007D458D" w:rsidRPr="00D97B1C" w:rsidRDefault="008D09A6" w:rsidP="00D97B1C">
            <w:hyperlink r:id="rId10" w:history="1">
              <w:r w:rsidR="00EF4056" w:rsidRPr="00BC00A8">
                <w:rPr>
                  <w:rStyle w:val="Hyperlink"/>
                </w:rPr>
                <w:t>11151-B-0032---Slip Flange (Flat-Tapped)</w:t>
              </w:r>
            </w:hyperlink>
          </w:p>
        </w:tc>
        <w:tc>
          <w:tcPr>
            <w:tcW w:w="1000" w:type="pct"/>
          </w:tcPr>
          <w:p w:rsidR="007D458D" w:rsidRPr="00D97B1C" w:rsidRDefault="008D09A6" w:rsidP="00D97B1C">
            <w:hyperlink r:id="rId11" w:history="1">
              <w:r w:rsidR="00EF4056" w:rsidRPr="00BC00A8">
                <w:rPr>
                  <w:rStyle w:val="Hyperlink"/>
                </w:rPr>
                <w:t>11151-B-0043---Bellows Slip Flange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8D09A6" w:rsidP="00D97B1C">
            <w:hyperlink r:id="rId12" w:history="1">
              <w:r w:rsidR="00EF4056" w:rsidRPr="00BC00A8">
                <w:rPr>
                  <w:rStyle w:val="Hyperlink"/>
                </w:rPr>
                <w:t>11151-B-0051---Backing Ring</w:t>
              </w:r>
            </w:hyperlink>
          </w:p>
        </w:tc>
        <w:tc>
          <w:tcPr>
            <w:tcW w:w="999" w:type="pct"/>
          </w:tcPr>
          <w:p w:rsidR="007D458D" w:rsidRPr="00D97B1C" w:rsidRDefault="008D09A6" w:rsidP="00D97B1C">
            <w:hyperlink r:id="rId13" w:history="1">
              <w:r w:rsidR="00EF4056" w:rsidRPr="00BC00A8">
                <w:rPr>
                  <w:rStyle w:val="Hyperlink"/>
                </w:rPr>
                <w:t>11151-B-0129   Bellows Backing Flange</w:t>
              </w:r>
            </w:hyperlink>
          </w:p>
        </w:tc>
        <w:tc>
          <w:tcPr>
            <w:tcW w:w="1001" w:type="pct"/>
          </w:tcPr>
          <w:p w:rsidR="007D458D" w:rsidRPr="00D97B1C" w:rsidRDefault="008D09A6" w:rsidP="00D97B1C">
            <w:hyperlink r:id="rId14" w:history="1">
              <w:r w:rsidR="00EF4056" w:rsidRPr="00BC00A8">
                <w:rPr>
                  <w:rStyle w:val="Hyperlink"/>
                </w:rPr>
                <w:t>CRM0882005-0002---Inner Adapter Backing Flange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578" w:type="dxa"/>
          </w:tcPr>
          <w:p w:rsidR="007D458D" w:rsidRDefault="00BC00A8" w:rsidP="00755A06">
            <w:r>
              <w:t>In the drop</w:t>
            </w:r>
            <w:r w:rsidR="008B0F5E">
              <w:t>-</w:t>
            </w:r>
            <w:r>
              <w:t>down select the drawing number of the flange component(s) to be inspected.</w:t>
            </w:r>
            <w:r w:rsidR="00B33D7E">
              <w:t xml:space="preserve">  A separate traveler will need to be created for each type of component being inspected even if they were purchased on the same work order.  </w:t>
            </w:r>
          </w:p>
          <w:p w:rsidR="00BC00A8" w:rsidRDefault="00BC00A8" w:rsidP="00755A06"/>
          <w:p w:rsidR="006756A8" w:rsidRDefault="00BC00A8" w:rsidP="00BC00A8">
            <w:r>
              <w:t xml:space="preserve">In the comment box enter information about where the components </w:t>
            </w:r>
            <w:r w:rsidR="00B33D7E">
              <w:t xml:space="preserve">were procured.  </w:t>
            </w:r>
          </w:p>
          <w:p w:rsidR="006756A8" w:rsidRDefault="006756A8" w:rsidP="00BC00A8"/>
          <w:p w:rsidR="00B33D7E" w:rsidRDefault="00B33D7E" w:rsidP="00BC00A8">
            <w:r>
              <w:t xml:space="preserve">Examples:  </w:t>
            </w:r>
          </w:p>
          <w:p w:rsidR="00BC00A8" w:rsidRDefault="00B33D7E" w:rsidP="00BC00A8">
            <w:proofErr w:type="spellStart"/>
            <w:r>
              <w:t>JLab</w:t>
            </w:r>
            <w:proofErr w:type="spellEnd"/>
            <w:r>
              <w:t xml:space="preserve"> Machine shop Z Code #...</w:t>
            </w:r>
            <w:bookmarkStart w:id="0" w:name="_GoBack"/>
            <w:bookmarkEnd w:id="0"/>
          </w:p>
          <w:p w:rsidR="00B33D7E" w:rsidRDefault="00B33D7E" w:rsidP="00BC00A8">
            <w:r>
              <w:t>PR#</w:t>
            </w:r>
          </w:p>
          <w:p w:rsidR="00B33D7E" w:rsidRDefault="00B33D7E" w:rsidP="00BC00A8">
            <w:r>
              <w:t>PO#</w:t>
            </w:r>
          </w:p>
          <w:p w:rsidR="00B33D7E" w:rsidRDefault="00B33D7E" w:rsidP="00BC00A8">
            <w:r>
              <w:t>Ordered by…</w:t>
            </w:r>
          </w:p>
          <w:p w:rsidR="006756A8" w:rsidRDefault="006756A8" w:rsidP="00BC00A8">
            <w:r>
              <w:t>Order Date</w:t>
            </w:r>
          </w:p>
          <w:p w:rsidR="00B33D7E" w:rsidRPr="00D97B1C" w:rsidRDefault="00B33D7E" w:rsidP="00BC00A8"/>
        </w:tc>
        <w:tc>
          <w:tcPr>
            <w:tcW w:w="4379" w:type="dxa"/>
            <w:noWrap/>
          </w:tcPr>
          <w:p w:rsidR="00E516DE" w:rsidRDefault="00B33D7E" w:rsidP="00C53F69">
            <w:pPr>
              <w:rPr>
                <w:color w:val="FF0000"/>
              </w:rPr>
            </w:pPr>
            <w:r w:rsidRPr="00B33D7E">
              <w:rPr>
                <w:color w:val="FF0000"/>
              </w:rPr>
              <w:t>Drawing dropdown</w:t>
            </w:r>
          </w:p>
          <w:p w:rsidR="00B33D7E" w:rsidRDefault="00B33D7E" w:rsidP="00C53F69"/>
          <w:p w:rsidR="00B33D7E" w:rsidRDefault="00B33D7E" w:rsidP="00C53F69">
            <w:r>
              <w:t>[[</w:t>
            </w:r>
            <w:proofErr w:type="spellStart"/>
            <w:r>
              <w:t>OrderInformation</w:t>
            </w:r>
            <w:proofErr w:type="spellEnd"/>
            <w:r>
              <w:t>]] &lt;&lt;COMMENT&gt;&gt;</w:t>
            </w:r>
          </w:p>
          <w:p w:rsidR="00B33D7E" w:rsidRDefault="00B33D7E" w:rsidP="00C53F69"/>
          <w:p w:rsidR="006756A8" w:rsidRDefault="006756A8" w:rsidP="00C53F69">
            <w:r>
              <w:t>[[</w:t>
            </w:r>
            <w:proofErr w:type="spellStart"/>
            <w:r>
              <w:t>FieldName</w:t>
            </w:r>
            <w:proofErr w:type="spellEnd"/>
            <w:r>
              <w:t>]] &lt;&lt;TIMESTAMP&gt;&gt;</w:t>
            </w:r>
          </w:p>
          <w:p w:rsidR="00B33D7E" w:rsidRDefault="00B33D7E" w:rsidP="00C53F69"/>
          <w:p w:rsidR="001C586F" w:rsidRDefault="001C586F" w:rsidP="001C586F">
            <w:r>
              <w:t>[[InspectU</w:t>
            </w:r>
            <w:r>
              <w:t>pload1</w:t>
            </w:r>
            <w:r>
              <w:t>]] &lt;&lt;FILEUPLOAD&gt;&gt;</w:t>
            </w:r>
          </w:p>
          <w:p w:rsidR="00B33D7E" w:rsidRDefault="00B33D7E" w:rsidP="00C53F69"/>
          <w:p w:rsidR="001C586F" w:rsidRDefault="001C586F" w:rsidP="00C53F69"/>
          <w:p w:rsidR="00B33D7E" w:rsidRDefault="00B33D7E" w:rsidP="00C53F69">
            <w:r>
              <w:t>[[InspectorTech1]] &lt;&lt;SRF&gt;&gt;</w:t>
            </w:r>
          </w:p>
          <w:p w:rsidR="00B33D7E" w:rsidRDefault="00B33D7E" w:rsidP="00C53F69"/>
          <w:p w:rsidR="00B33D7E" w:rsidRPr="00B33D7E" w:rsidRDefault="00B33D7E" w:rsidP="00C53F69"/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578" w:type="dxa"/>
          </w:tcPr>
          <w:p w:rsidR="00B33D7E" w:rsidRPr="004C5C2D" w:rsidRDefault="00B33D7E" w:rsidP="00D97B1C">
            <w:r w:rsidRPr="004C5C2D">
              <w:t xml:space="preserve">A full detailed dimensional inspection of components outlined in this traveler is not required.  We are looking for gross machine operation missed steps.  </w:t>
            </w:r>
            <w:r w:rsidR="004C5C2D">
              <w:t xml:space="preserve">When possible an extra component of each type should be </w:t>
            </w:r>
            <w:r w:rsidRPr="004C5C2D">
              <w:t>purchased that the inspection department can keep for a master comparison object.</w:t>
            </w:r>
          </w:p>
          <w:p w:rsidR="00B33D7E" w:rsidRPr="004C5C2D" w:rsidRDefault="00B33D7E" w:rsidP="00D97B1C"/>
          <w:p w:rsidR="007D458D" w:rsidRDefault="00B33D7E" w:rsidP="004C5C2D">
            <w:r w:rsidRPr="004C5C2D">
              <w:t xml:space="preserve">Compare the inspection component to a known good component.  Ensure bolt patterns match up.  Ensure thickness and overall geometry looks correct.  </w:t>
            </w:r>
            <w:r w:rsidR="004C5C2D">
              <w:t>U</w:t>
            </w:r>
            <w:r w:rsidR="005253B4">
              <w:t>se</w:t>
            </w:r>
            <w:r w:rsidRPr="004C5C2D">
              <w:t xml:space="preserve"> a bolt/ screw to </w:t>
            </w:r>
            <w:r w:rsidR="004C5C2D">
              <w:t>check any threads</w:t>
            </w:r>
            <w:r w:rsidR="005253B4">
              <w:t xml:space="preserve"> or through holes</w:t>
            </w:r>
            <w:r w:rsidR="004C5C2D">
              <w:t xml:space="preserve">.  A veneer caliper can be used as needed to check for discrepancies.  </w:t>
            </w:r>
          </w:p>
          <w:p w:rsidR="004C5C2D" w:rsidRDefault="004C5C2D" w:rsidP="004C5C2D"/>
          <w:p w:rsidR="004C5C2D" w:rsidRDefault="004C5C2D" w:rsidP="004C5C2D">
            <w:r>
              <w:t>Create a NCR for any variances in the components.</w:t>
            </w:r>
          </w:p>
          <w:p w:rsidR="004C5C2D" w:rsidRDefault="004C5C2D" w:rsidP="004C5C2D"/>
          <w:p w:rsidR="004C5C2D" w:rsidRPr="004C5C2D" w:rsidRDefault="004C5C2D" w:rsidP="004C5C2D">
            <w:r w:rsidRPr="004C5C2D">
              <w:rPr>
                <w:b/>
              </w:rPr>
              <w:t xml:space="preserve">Note:  </w:t>
            </w:r>
            <w:r>
              <w:t>If a master comparison component is not available one component out of the batch should be measured with the caliper more carefully.  This item can no</w:t>
            </w:r>
            <w:r w:rsidR="005253B4">
              <w:t>w</w:t>
            </w:r>
            <w:r>
              <w:t xml:space="preserve"> be used as the comparison object.</w:t>
            </w:r>
          </w:p>
        </w:tc>
        <w:tc>
          <w:tcPr>
            <w:tcW w:w="4379" w:type="dxa"/>
            <w:noWrap/>
          </w:tcPr>
          <w:p w:rsidR="004C5C2D" w:rsidRDefault="004C5C2D" w:rsidP="00D97B1C">
            <w:r>
              <w:t>[[Pass]] &lt;&lt;YESNO&gt;&gt;</w:t>
            </w:r>
          </w:p>
          <w:p w:rsidR="007D458D" w:rsidRDefault="007D458D" w:rsidP="00D97B1C"/>
          <w:p w:rsidR="004C5C2D" w:rsidRDefault="004C5C2D" w:rsidP="00D97B1C">
            <w:r>
              <w:t>[[</w:t>
            </w:r>
            <w:proofErr w:type="spellStart"/>
            <w:r>
              <w:t>InspectionNotes</w:t>
            </w:r>
            <w:proofErr w:type="spellEnd"/>
            <w:r>
              <w:t>]] &lt;&lt;COMMENT&gt;&gt;</w:t>
            </w:r>
          </w:p>
          <w:p w:rsidR="004C5C2D" w:rsidRDefault="004C5C2D" w:rsidP="00D97B1C"/>
          <w:p w:rsidR="001C586F" w:rsidRDefault="001C586F" w:rsidP="001C586F">
            <w:r>
              <w:t>[[</w:t>
            </w:r>
            <w:r>
              <w:t>InspectUpload2</w:t>
            </w:r>
            <w:r>
              <w:t>]] &lt;&lt;FILEUPLOAD&gt;&gt;</w:t>
            </w:r>
          </w:p>
          <w:p w:rsidR="001C586F" w:rsidRDefault="001C586F" w:rsidP="00D97B1C"/>
          <w:p w:rsidR="004C5C2D" w:rsidRDefault="004C5C2D" w:rsidP="004C5C2D">
            <w:r>
              <w:t>[[InspectorTech2]] &lt;&lt;SRF&gt;&gt;</w:t>
            </w:r>
          </w:p>
          <w:p w:rsidR="004C5C2D" w:rsidRPr="00D97B1C" w:rsidRDefault="004C5C2D" w:rsidP="00D97B1C"/>
        </w:tc>
      </w:tr>
      <w:tr w:rsidR="00FA0EAC" w:rsidRPr="00D97B1C" w:rsidTr="001B0A81">
        <w:trPr>
          <w:trHeight w:val="288"/>
        </w:trPr>
        <w:tc>
          <w:tcPr>
            <w:tcW w:w="1219" w:type="dxa"/>
          </w:tcPr>
          <w:p w:rsidR="00FA0EAC" w:rsidRPr="00D97B1C" w:rsidRDefault="00FA0EAC" w:rsidP="00D97B1C"/>
        </w:tc>
        <w:tc>
          <w:tcPr>
            <w:tcW w:w="7578" w:type="dxa"/>
          </w:tcPr>
          <w:p w:rsidR="00FA0EAC" w:rsidRPr="004C5C2D" w:rsidRDefault="00FA0EAC" w:rsidP="00D97B1C"/>
        </w:tc>
        <w:tc>
          <w:tcPr>
            <w:tcW w:w="4379" w:type="dxa"/>
            <w:noWrap/>
          </w:tcPr>
          <w:p w:rsidR="00FA0EAC" w:rsidRPr="00D97B1C" w:rsidRDefault="00FA0EAC" w:rsidP="00D97B1C"/>
        </w:tc>
      </w:tr>
    </w:tbl>
    <w:p w:rsidR="00A208EE" w:rsidRPr="00D97B1C" w:rsidRDefault="00A208EE" w:rsidP="00D97B1C"/>
    <w:sectPr w:rsidR="00A208EE" w:rsidRPr="00D97B1C" w:rsidSect="00A841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2DF" w:rsidRDefault="000462DF" w:rsidP="00D97B1C">
      <w:r>
        <w:separator/>
      </w:r>
    </w:p>
  </w:endnote>
  <w:endnote w:type="continuationSeparator" w:id="0">
    <w:p w:rsidR="000462DF" w:rsidRDefault="000462D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D09A6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D09A6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C586F">
      <w:rPr>
        <w:noProof/>
      </w:rPr>
      <w:t>5/8/2020 7:30:00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2DF" w:rsidRDefault="000462DF" w:rsidP="00D97B1C">
      <w:r>
        <w:separator/>
      </w:r>
    </w:p>
  </w:footnote>
  <w:footnote w:type="continuationSeparator" w:id="0">
    <w:p w:rsidR="000462DF" w:rsidRDefault="000462D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D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C586F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150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583E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5C2D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53B4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1611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56A8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A5BBA"/>
    <w:rsid w:val="008B0F5E"/>
    <w:rsid w:val="008B695A"/>
    <w:rsid w:val="008C3D4F"/>
    <w:rsid w:val="008C5B3E"/>
    <w:rsid w:val="008D09A6"/>
    <w:rsid w:val="008D5A63"/>
    <w:rsid w:val="008D7218"/>
    <w:rsid w:val="008E2762"/>
    <w:rsid w:val="008E588F"/>
    <w:rsid w:val="00910D5E"/>
    <w:rsid w:val="009162AB"/>
    <w:rsid w:val="00916690"/>
    <w:rsid w:val="00917171"/>
    <w:rsid w:val="00920104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335D"/>
    <w:rsid w:val="00B33D7E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00A8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4056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7F9D32"/>
  <w15:docId w15:val="{C9EF780C-09A0-41B6-A977-9754E28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00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00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962/11151-B-0030---Clamp%20Ring.pdf" TargetMode="External"/><Relationship Id="rId13" Type="http://schemas.openxmlformats.org/officeDocument/2006/relationships/hyperlink" Target="https://jlabdoc.jlab.org/docushare/dsweb/Get/Document-211967/11151-B-0129%20%20%20Bellows%20Backing%20Flange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labdoc.jlab.org/docushare/dsweb/Get/Document-211961/11151-B-0029---Nest%20Ring.pdf" TargetMode="External"/><Relationship Id="rId12" Type="http://schemas.openxmlformats.org/officeDocument/2006/relationships/hyperlink" Target="https://jlabdoc.jlab.org/docushare/dsweb/Get/Document-211970/11151-B-0051---Backing%20Ring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1966/11151-B-0043---Bellows%20Slip%20Flang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11965/11151-B-0032---Slip%20Flange%20(Flat-Tapped)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963/11151-B-0031---Slip%20Flange.pdf" TargetMode="External"/><Relationship Id="rId14" Type="http://schemas.openxmlformats.org/officeDocument/2006/relationships/hyperlink" Target="https://jlabdoc.jlab.org/docushare/dsweb/Get/Document-211969/CRM0882005-0002---Inner%20Adapter%20Backing%20Flange.pdf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6FD4D47E534C9DB47F7DA8D639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E0DD-DAD2-4ACC-A1F9-AD08EDB44B8A}"/>
      </w:docPartPr>
      <w:docPartBody>
        <w:p w:rsidR="00676E61" w:rsidRDefault="00534BA6" w:rsidP="00534BA6">
          <w:pPr>
            <w:pStyle w:val="286FD4D47E534C9DB47F7DA8D6396E6B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A6"/>
    <w:rsid w:val="003B438F"/>
    <w:rsid w:val="00447AE4"/>
    <w:rsid w:val="00534BA6"/>
    <w:rsid w:val="00676E61"/>
    <w:rsid w:val="00DA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A6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4BA6"/>
    <w:rPr>
      <w:color w:val="808080"/>
    </w:rPr>
  </w:style>
  <w:style w:type="paragraph" w:customStyle="1" w:styleId="286FD4D47E534C9DB47F7DA8D6396E6B">
    <w:name w:val="286FD4D47E534C9DB47F7DA8D6396E6B"/>
    <w:rsid w:val="00534BA6"/>
  </w:style>
  <w:style w:type="paragraph" w:customStyle="1" w:styleId="286FD4D47E534C9DB47F7DA8D6396E6B1">
    <w:name w:val="286FD4D47E534C9DB47F7DA8D6396E6B1"/>
    <w:rsid w:val="00534BA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24357-5D45-46B1-A06C-853004ED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Kurt Macha</cp:lastModifiedBy>
  <cp:revision>4</cp:revision>
  <dcterms:created xsi:type="dcterms:W3CDTF">2020-05-12T11:31:00Z</dcterms:created>
  <dcterms:modified xsi:type="dcterms:W3CDTF">2020-05-12T11:33:00Z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