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1928"/>
        <w:gridCol w:w="1530"/>
      </w:tblGrid>
      <w:tr w:rsidR="00B43C3C" w:rsidRPr="001308A1" w:rsidTr="00FE25F0">
        <w:trPr>
          <w:jc w:val="center"/>
        </w:trPr>
        <w:tc>
          <w:tcPr>
            <w:tcW w:w="10080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bookmarkStart w:id="0" w:name="Overview"/>
          <w:p w:rsidR="00B43C3C" w:rsidRPr="00525E64" w:rsidRDefault="00525E64" w:rsidP="00525E64">
            <w:pPr>
              <w:pStyle w:val="Title"/>
            </w:pP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="00FE25F0">
              <w:t>Baking in Nitrogen Oven</w:t>
            </w:r>
          </w:p>
        </w:tc>
      </w:tr>
      <w:tr w:rsidR="00B43C3C" w:rsidRPr="00A63309" w:rsidTr="00FE25F0">
        <w:trPr>
          <w:jc w:val="center"/>
        </w:trPr>
        <w:tc>
          <w:tcPr>
            <w:tcW w:w="236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D606D0" w:rsidP="00FE25F0">
            <w:pPr>
              <w:rPr>
                <w:rFonts w:ascii="Times" w:hAnsi="Times"/>
                <w:color w:val="auto"/>
                <w:sz w:val="20"/>
                <w:szCs w:val="20"/>
              </w:rPr>
            </w:pPr>
            <w:bookmarkStart w:id="1" w:name="_GoBack"/>
            <w:r>
              <w:rPr>
                <w:rFonts w:cs="Arial"/>
                <w:sz w:val="20"/>
                <w:szCs w:val="20"/>
              </w:rPr>
              <w:t>CP-</w:t>
            </w:r>
            <w:r w:rsidR="00FE25F0">
              <w:rPr>
                <w:rFonts w:cs="Arial"/>
                <w:sz w:val="20"/>
                <w:szCs w:val="20"/>
              </w:rPr>
              <w:t>STP</w:t>
            </w:r>
            <w:r>
              <w:rPr>
                <w:rFonts w:cs="Arial"/>
                <w:sz w:val="20"/>
                <w:szCs w:val="20"/>
              </w:rPr>
              <w:t>-</w:t>
            </w:r>
            <w:r w:rsidR="00FE25F0">
              <w:rPr>
                <w:rFonts w:cs="Arial"/>
                <w:sz w:val="20"/>
                <w:szCs w:val="20"/>
              </w:rPr>
              <w:t>CAV</w:t>
            </w:r>
            <w:r>
              <w:rPr>
                <w:rFonts w:cs="Arial"/>
                <w:sz w:val="20"/>
                <w:szCs w:val="20"/>
              </w:rPr>
              <w:t>-</w:t>
            </w:r>
            <w:r w:rsidR="00FE25F0">
              <w:rPr>
                <w:rFonts w:cs="Arial"/>
                <w:sz w:val="20"/>
                <w:szCs w:val="20"/>
              </w:rPr>
              <w:t>CHEM</w:t>
            </w:r>
            <w:r>
              <w:rPr>
                <w:rFonts w:cs="Arial"/>
                <w:sz w:val="20"/>
                <w:szCs w:val="20"/>
              </w:rPr>
              <w:t>-</w:t>
            </w:r>
            <w:r w:rsidR="00FE25F0">
              <w:rPr>
                <w:rFonts w:cs="Arial"/>
                <w:sz w:val="20"/>
                <w:szCs w:val="20"/>
              </w:rPr>
              <w:t>BAKE</w:t>
            </w:r>
            <w:bookmarkEnd w:id="1"/>
          </w:p>
        </w:tc>
        <w:tc>
          <w:tcPr>
            <w:tcW w:w="192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530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FE25F0" w:rsidP="00950E87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15-MAY-2020</w:t>
            </w:r>
          </w:p>
        </w:tc>
      </w:tr>
      <w:tr w:rsidR="00B43C3C" w:rsidRPr="00A63309" w:rsidTr="00FE25F0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8D4F6B" w:rsidP="00D606D0">
            <w:pPr>
              <w:rPr>
                <w:rFonts w:ascii="Times" w:hAnsi="Times"/>
                <w:b/>
                <w:color w:val="auto"/>
                <w:sz w:val="20"/>
                <w:szCs w:val="20"/>
              </w:rPr>
            </w:pPr>
            <w:r>
              <w:rPr>
                <w:rFonts w:ascii="Times" w:hAnsi="Times" w:cs="Calibri"/>
                <w:color w:val="auto"/>
                <w:sz w:val="20"/>
                <w:szCs w:val="20"/>
              </w:rPr>
              <w:t>Initial Release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FE25F0" w:rsidP="00E104AF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15</w:t>
            </w:r>
            <w:r w:rsidR="00A63309" w:rsidRPr="00A63309">
              <w:rPr>
                <w:rFonts w:ascii="Times" w:hAnsi="Times"/>
                <w:color w:val="auto"/>
                <w:sz w:val="20"/>
                <w:szCs w:val="20"/>
              </w:rPr>
              <w:t>-</w:t>
            </w:r>
            <w:r w:rsidR="00E104AF">
              <w:rPr>
                <w:rFonts w:ascii="Times" w:hAnsi="Times"/>
                <w:color w:val="auto"/>
                <w:sz w:val="20"/>
                <w:szCs w:val="20"/>
              </w:rPr>
              <w:t>MAY</w:t>
            </w:r>
            <w:r w:rsidR="00A63309" w:rsidRPr="00A63309">
              <w:rPr>
                <w:rFonts w:ascii="Times" w:hAnsi="Times"/>
                <w:color w:val="auto"/>
                <w:sz w:val="20"/>
                <w:szCs w:val="20"/>
              </w:rPr>
              <w:t>-202</w:t>
            </w:r>
            <w:r w:rsidR="00C568F8">
              <w:rPr>
                <w:rFonts w:ascii="Times" w:hAnsi="Times"/>
                <w:color w:val="auto"/>
                <w:sz w:val="20"/>
                <w:szCs w:val="20"/>
              </w:rPr>
              <w:t>2</w:t>
            </w:r>
          </w:p>
        </w:tc>
      </w:tr>
      <w:tr w:rsidR="00B43C3C" w:rsidRPr="00A63309" w:rsidTr="00FE25F0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Owner: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E104AF" w:rsidP="005A7C7A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Ashley Mitchell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</w:tbl>
    <w:p w:rsidR="005A7C7A" w:rsidRPr="00A63309" w:rsidRDefault="005A7C7A" w:rsidP="005A7C7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id="2" w:name="_Purpose"/>
      <w:bookmarkEnd w:id="0"/>
      <w:bookmarkEnd w:id="2"/>
    </w:p>
    <w:p w:rsidR="005A7C7A" w:rsidRPr="00A63309" w:rsidRDefault="005A7C7A" w:rsidP="005A7C7A"/>
    <w:p w:rsidR="005A7C7A" w:rsidRPr="00A63309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A63309">
        <w:rPr>
          <w:rFonts w:ascii="Times New Roman" w:hAnsi="Times New Roman" w:cs="Times New Roman"/>
          <w:szCs w:val="32"/>
        </w:rPr>
        <w:t xml:space="preserve">Purpose </w:t>
      </w:r>
      <w:r w:rsidR="00DB6DA8" w:rsidRPr="00A63309">
        <w:rPr>
          <w:rFonts w:ascii="Times New Roman" w:hAnsi="Times New Roman" w:cs="Times New Roman"/>
          <w:szCs w:val="32"/>
        </w:rPr>
        <w:t xml:space="preserve">and Scope </w:t>
      </w:r>
    </w:p>
    <w:p w:rsidR="005A7C7A" w:rsidRPr="00A63309" w:rsidRDefault="005A7C7A" w:rsidP="005A7C7A"/>
    <w:p w:rsidR="00E104AF" w:rsidRDefault="00E104AF" w:rsidP="00E104AF">
      <w:r>
        <w:rPr>
          <w:smallCaps/>
        </w:rPr>
        <w:t>Purpose</w:t>
      </w:r>
      <w:r>
        <w:t>:  To remove all impurities from surface of items by exposing the part to intense heat for an extended period of time, thereby releasing any particulate from the pores of the material.</w:t>
      </w:r>
    </w:p>
    <w:p w:rsidR="00E104AF" w:rsidRDefault="00E104AF" w:rsidP="00E104AF"/>
    <w:p w:rsidR="00E104AF" w:rsidRDefault="00E104AF" w:rsidP="00E104AF">
      <w:r w:rsidRPr="00DB10D9">
        <w:rPr>
          <w:smallCaps/>
        </w:rPr>
        <w:t>Safety</w:t>
      </w:r>
      <w:r>
        <w:t xml:space="preserve">:  Individual must keep safety as the first priority in the process; before beginning any job, the user must assure they have the correct PPE for the individual job. </w:t>
      </w:r>
      <w:r w:rsidR="00AA0815">
        <w:t xml:space="preserve"> </w:t>
      </w:r>
      <w:r>
        <w:t xml:space="preserve">Maintaining the level of safety and secure nature of the work area is paramount. </w:t>
      </w:r>
      <w:r w:rsidR="00AA0815">
        <w:t xml:space="preserve"> </w:t>
      </w:r>
      <w:r>
        <w:t>Assure personal safety by using caution in movement and taking necessary steps to avoid unnecessary personnel in the immediate area.</w:t>
      </w:r>
    </w:p>
    <w:p w:rsidR="005A7C7A" w:rsidRPr="005A7C7A" w:rsidRDefault="005A7C7A" w:rsidP="005A7C7A"/>
    <w:p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 xml:space="preserve">References  </w:t>
      </w:r>
    </w:p>
    <w:p w:rsidR="005A7C7A" w:rsidRPr="005A7C7A" w:rsidRDefault="005A7C7A" w:rsidP="005A7C7A">
      <w:pPr>
        <w:autoSpaceDE w:val="0"/>
        <w:autoSpaceDN w:val="0"/>
        <w:adjustRightInd w:val="0"/>
        <w:ind w:left="450"/>
        <w:rPr>
          <w:b/>
          <w:bCs/>
        </w:rPr>
      </w:pPr>
    </w:p>
    <w:p w:rsidR="0036091D" w:rsidRDefault="00AA0815" w:rsidP="005A7C7A">
      <w:pPr>
        <w:autoSpaceDE w:val="0"/>
        <w:autoSpaceDN w:val="0"/>
        <w:adjustRightInd w:val="0"/>
        <w:ind w:left="450"/>
        <w:rPr>
          <w:bCs/>
        </w:rPr>
      </w:pPr>
      <w:hyperlink r:id="rId8" w:history="1">
        <w:r w:rsidR="00E104AF" w:rsidRPr="00E104AF">
          <w:rPr>
            <w:rStyle w:val="Hyperlink"/>
            <w:bCs/>
          </w:rPr>
          <w:t>C50 HOM Loads Baking Procedure</w:t>
        </w:r>
      </w:hyperlink>
    </w:p>
    <w:p w:rsidR="00E104AF" w:rsidRDefault="00E104AF" w:rsidP="005A7C7A">
      <w:pPr>
        <w:autoSpaceDE w:val="0"/>
        <w:autoSpaceDN w:val="0"/>
        <w:adjustRightInd w:val="0"/>
        <w:ind w:left="450"/>
        <w:rPr>
          <w:bCs/>
        </w:rPr>
      </w:pPr>
    </w:p>
    <w:p w:rsidR="00E104AF" w:rsidRPr="005A7C7A" w:rsidRDefault="00E104AF" w:rsidP="005A7C7A">
      <w:pPr>
        <w:autoSpaceDE w:val="0"/>
        <w:autoSpaceDN w:val="0"/>
        <w:adjustRightInd w:val="0"/>
        <w:ind w:left="450"/>
        <w:rPr>
          <w:bCs/>
        </w:rPr>
      </w:pPr>
      <w:r w:rsidRPr="00E104AF">
        <w:rPr>
          <w:bCs/>
        </w:rPr>
        <w:t>CP-STP-CAV-CHEM-DEGR</w:t>
      </w:r>
    </w:p>
    <w:p w:rsidR="005A7C7A" w:rsidRPr="005A7C7A" w:rsidRDefault="005A7C7A" w:rsidP="005A7C7A">
      <w:pPr>
        <w:rPr>
          <w:sz w:val="32"/>
          <w:szCs w:val="32"/>
        </w:rPr>
      </w:pPr>
    </w:p>
    <w:p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 xml:space="preserve">Terms and Definitions   </w:t>
      </w:r>
    </w:p>
    <w:p w:rsidR="005A7C7A" w:rsidRPr="005A7C7A" w:rsidRDefault="005A7C7A" w:rsidP="005A7C7A">
      <w:pPr>
        <w:rPr>
          <w:b/>
        </w:rPr>
      </w:pPr>
    </w:p>
    <w:p w:rsidR="00E104AF" w:rsidRPr="008D4F6B" w:rsidRDefault="00E104AF" w:rsidP="00E104AF">
      <w:pPr>
        <w:pStyle w:val="ListParagraph"/>
        <w:numPr>
          <w:ilvl w:val="0"/>
          <w:numId w:val="27"/>
        </w:numPr>
      </w:pPr>
      <w:r w:rsidRPr="008D4F6B">
        <w:rPr>
          <w:b/>
        </w:rPr>
        <w:t>Component</w:t>
      </w:r>
      <w:r w:rsidRPr="008D4F6B">
        <w:t xml:space="preserve">: For the simplicity of this procedure, the terms cavities, items, components, and/or parts are considered interchangeable and will be generally referred to as “component”. </w:t>
      </w:r>
    </w:p>
    <w:p w:rsidR="00E104AF" w:rsidRPr="008D4F6B" w:rsidRDefault="00E104AF" w:rsidP="00E104AF">
      <w:pPr>
        <w:pStyle w:val="ListParagraph"/>
        <w:numPr>
          <w:ilvl w:val="1"/>
          <w:numId w:val="27"/>
        </w:numPr>
      </w:pPr>
      <w:r w:rsidRPr="008D4F6B">
        <w:t>If a component is a mix of the following metals or an unusual size or shape, the PI/SOTR and/or a supervisor should be consulted on the appropriate method to use.</w:t>
      </w:r>
    </w:p>
    <w:p w:rsidR="00E104AF" w:rsidRPr="008D4F6B" w:rsidRDefault="00E104AF" w:rsidP="00E104AF">
      <w:pPr>
        <w:pStyle w:val="ListParagraph"/>
        <w:numPr>
          <w:ilvl w:val="0"/>
          <w:numId w:val="27"/>
        </w:numPr>
      </w:pPr>
      <w:r w:rsidRPr="008D4F6B">
        <w:rPr>
          <w:b/>
        </w:rPr>
        <w:t>Solvents used:</w:t>
      </w:r>
      <w:r w:rsidRPr="008D4F6B">
        <w:t xml:space="preserve">  Acetone, Methanol, clean room quality isopropyl (aka isopropanol)</w:t>
      </w:r>
    </w:p>
    <w:p w:rsidR="00E104AF" w:rsidRPr="008D4F6B" w:rsidRDefault="00E104AF" w:rsidP="008D4F6B">
      <w:pPr>
        <w:pStyle w:val="ListParagraph"/>
        <w:numPr>
          <w:ilvl w:val="0"/>
          <w:numId w:val="27"/>
        </w:numPr>
      </w:pPr>
      <w:r w:rsidRPr="008D4F6B">
        <w:rPr>
          <w:b/>
        </w:rPr>
        <w:t xml:space="preserve">N2 / Nitrogen: </w:t>
      </w:r>
      <w:r w:rsidRPr="008D4F6B">
        <w:t>filtered nitrogen is most commonly used.</w:t>
      </w:r>
    </w:p>
    <w:p w:rsidR="005A7C7A" w:rsidRDefault="005A7C7A" w:rsidP="005A7C7A"/>
    <w:p w:rsidR="005A7C7A" w:rsidRDefault="005A7C7A" w:rsidP="005A7C7A">
      <w:pPr>
        <w:pStyle w:val="Heading1"/>
      </w:pPr>
      <w:r>
        <w:t xml:space="preserve">Process Details </w:t>
      </w:r>
    </w:p>
    <w:p w:rsidR="005A7C7A" w:rsidRDefault="005A7C7A" w:rsidP="005A7C7A"/>
    <w:p w:rsidR="00E104AF" w:rsidRDefault="00E104AF" w:rsidP="00E104AF">
      <w:pPr>
        <w:numPr>
          <w:ilvl w:val="0"/>
          <w:numId w:val="26"/>
        </w:numPr>
      </w:pPr>
      <w:r>
        <w:t xml:space="preserve">Prior to baking a component, it must be cleaned. </w:t>
      </w:r>
    </w:p>
    <w:p w:rsidR="00E104AF" w:rsidRDefault="00E104AF" w:rsidP="00E104AF">
      <w:pPr>
        <w:numPr>
          <w:ilvl w:val="1"/>
          <w:numId w:val="26"/>
        </w:numPr>
      </w:pPr>
      <w:r>
        <w:t xml:space="preserve">Follow the appropriate cleaning procedure for the component being baked.  </w:t>
      </w:r>
    </w:p>
    <w:p w:rsidR="00E104AF" w:rsidRDefault="00E104AF" w:rsidP="00E104AF">
      <w:pPr>
        <w:numPr>
          <w:ilvl w:val="1"/>
          <w:numId w:val="26"/>
        </w:numPr>
      </w:pPr>
      <w:r>
        <w:t>Refer</w:t>
      </w:r>
      <w:r w:rsidRPr="00E104AF">
        <w:t xml:space="preserve"> to </w:t>
      </w:r>
      <w:r w:rsidRPr="00E104AF">
        <w:rPr>
          <w:rFonts w:cs="Arial"/>
        </w:rPr>
        <w:t xml:space="preserve">CP-STP-CAV-CHEM-DEGR </w:t>
      </w:r>
      <w:r w:rsidR="008D4F6B">
        <w:rPr>
          <w:rFonts w:cs="Arial"/>
        </w:rPr>
        <w:t>for guidance with common components</w:t>
      </w:r>
      <w:r>
        <w:rPr>
          <w:rFonts w:cs="Arial"/>
        </w:rPr>
        <w:t xml:space="preserve">. </w:t>
      </w:r>
    </w:p>
    <w:p w:rsidR="00E104AF" w:rsidRDefault="00E104AF" w:rsidP="00E104AF">
      <w:pPr>
        <w:numPr>
          <w:ilvl w:val="0"/>
          <w:numId w:val="26"/>
        </w:numPr>
      </w:pPr>
      <w:r>
        <w:t xml:space="preserve"> Before baking, the oven must be cleaned and purged with nitrogen:</w:t>
      </w:r>
    </w:p>
    <w:p w:rsidR="00E104AF" w:rsidRDefault="00E104AF" w:rsidP="00E104AF">
      <w:pPr>
        <w:numPr>
          <w:ilvl w:val="1"/>
          <w:numId w:val="26"/>
        </w:numPr>
      </w:pPr>
      <w:r>
        <w:t>Open oven door and remove any foreign objects and wipe down trays with Cleanroom wipes and isopropyl.</w:t>
      </w:r>
    </w:p>
    <w:p w:rsidR="00E104AF" w:rsidRDefault="00E104AF" w:rsidP="00E104AF">
      <w:pPr>
        <w:numPr>
          <w:ilvl w:val="1"/>
          <w:numId w:val="26"/>
        </w:numPr>
      </w:pPr>
      <w:r>
        <w:lastRenderedPageBreak/>
        <w:t>Ensure that oven exhaust valve on Cleanroom wall is in open position (handle in line with pipe).</w:t>
      </w:r>
    </w:p>
    <w:p w:rsidR="00E104AF" w:rsidRDefault="00E104AF" w:rsidP="00E104AF">
      <w:pPr>
        <w:numPr>
          <w:ilvl w:val="1"/>
          <w:numId w:val="26"/>
        </w:numPr>
      </w:pPr>
      <w:r>
        <w:t>Turn on nitrogen (N</w:t>
      </w:r>
      <w:r w:rsidRPr="00BA49A7">
        <w:rPr>
          <w:vertAlign w:val="subscript"/>
        </w:rPr>
        <w:t>2</w:t>
      </w:r>
      <w:r>
        <w:t xml:space="preserve">) and set regulator to </w:t>
      </w:r>
      <w:r w:rsidR="000372EB">
        <w:t>50</w:t>
      </w:r>
      <w:r>
        <w:t xml:space="preserve"> </w:t>
      </w:r>
      <w:r w:rsidR="008D4F6B">
        <w:t>PSIG</w:t>
      </w:r>
      <w:r w:rsidR="000372EB">
        <w:t xml:space="preserve"> and 50 CFM</w:t>
      </w:r>
      <w:r>
        <w:t>.</w:t>
      </w:r>
    </w:p>
    <w:p w:rsidR="00E104AF" w:rsidRDefault="00E104AF" w:rsidP="00E104AF">
      <w:pPr>
        <w:numPr>
          <w:ilvl w:val="0"/>
          <w:numId w:val="26"/>
        </w:numPr>
      </w:pPr>
      <w:r>
        <w:t>Place component(s) in oven.</w:t>
      </w:r>
    </w:p>
    <w:p w:rsidR="00E104AF" w:rsidRDefault="00E104AF" w:rsidP="00E104AF">
      <w:pPr>
        <w:numPr>
          <w:ilvl w:val="1"/>
          <w:numId w:val="26"/>
        </w:numPr>
      </w:pPr>
      <w:r>
        <w:t xml:space="preserve">Inspect components for damage (chips/scratches). </w:t>
      </w:r>
    </w:p>
    <w:p w:rsidR="00E104AF" w:rsidRDefault="00E104AF" w:rsidP="00E104AF">
      <w:pPr>
        <w:numPr>
          <w:ilvl w:val="2"/>
          <w:numId w:val="26"/>
        </w:numPr>
      </w:pPr>
      <w:r>
        <w:t xml:space="preserve">If the component has pre-existing impairment, notify owner. </w:t>
      </w:r>
    </w:p>
    <w:p w:rsidR="00E104AF" w:rsidRDefault="00E104AF" w:rsidP="00E104AF">
      <w:pPr>
        <w:numPr>
          <w:ilvl w:val="2"/>
          <w:numId w:val="26"/>
        </w:numPr>
      </w:pPr>
      <w:r>
        <w:t>Do not bake until owner verifies through written acknowledgement of previous damage presence</w:t>
      </w:r>
    </w:p>
    <w:p w:rsidR="00E104AF" w:rsidRDefault="00E104AF" w:rsidP="00E104AF">
      <w:pPr>
        <w:numPr>
          <w:ilvl w:val="1"/>
          <w:numId w:val="26"/>
        </w:numPr>
      </w:pPr>
      <w:r>
        <w:t>Place component in oven on tray; space items evenly on oven tray and not touching.</w:t>
      </w:r>
    </w:p>
    <w:p w:rsidR="00E104AF" w:rsidRDefault="00E104AF" w:rsidP="00E104AF">
      <w:pPr>
        <w:numPr>
          <w:ilvl w:val="0"/>
          <w:numId w:val="26"/>
        </w:numPr>
      </w:pPr>
      <w:r>
        <w:t>Close oven door securely.</w:t>
      </w:r>
    </w:p>
    <w:p w:rsidR="00E104AF" w:rsidRDefault="00E104AF" w:rsidP="00E104AF">
      <w:pPr>
        <w:numPr>
          <w:ilvl w:val="0"/>
          <w:numId w:val="26"/>
        </w:numPr>
      </w:pPr>
      <w:r>
        <w:t>Wait one (1) hour before starting heating cycle on oven.</w:t>
      </w:r>
    </w:p>
    <w:p w:rsidR="00E104AF" w:rsidRDefault="008D4F6B" w:rsidP="00E104AF">
      <w:pPr>
        <w:numPr>
          <w:ilvl w:val="0"/>
          <w:numId w:val="26"/>
        </w:numPr>
      </w:pPr>
      <w:r>
        <w:t>T</w:t>
      </w:r>
      <w:r w:rsidR="00E104AF">
        <w:t>he following controls</w:t>
      </w:r>
      <w:r>
        <w:t xml:space="preserve"> are pre-set in the oven controller</w:t>
      </w:r>
      <w:r w:rsidR="00E104AF">
        <w:t>:</w:t>
      </w:r>
    </w:p>
    <w:p w:rsidR="00E104AF" w:rsidRDefault="00E104AF" w:rsidP="00E104AF">
      <w:pPr>
        <w:numPr>
          <w:ilvl w:val="1"/>
          <w:numId w:val="26"/>
        </w:numPr>
      </w:pPr>
      <w:r>
        <w:t>Temperature:</w:t>
      </w:r>
      <w:r>
        <w:tab/>
      </w:r>
      <w:r>
        <w:tab/>
      </w:r>
      <w:r>
        <w:tab/>
      </w:r>
      <w:r>
        <w:tab/>
        <w:t>100° C</w:t>
      </w:r>
    </w:p>
    <w:p w:rsidR="00E104AF" w:rsidRDefault="00E104AF" w:rsidP="00E104AF">
      <w:pPr>
        <w:numPr>
          <w:ilvl w:val="1"/>
          <w:numId w:val="26"/>
        </w:numPr>
      </w:pPr>
      <w:r>
        <w:t>Timer:</w:t>
      </w:r>
      <w:r>
        <w:tab/>
      </w:r>
      <w:r>
        <w:tab/>
      </w:r>
      <w:r>
        <w:tab/>
      </w:r>
      <w:r>
        <w:tab/>
      </w:r>
      <w:r>
        <w:tab/>
        <w:t>10.0</w:t>
      </w:r>
      <w:r w:rsidR="000372EB">
        <w:t xml:space="preserve"> hours</w:t>
      </w:r>
    </w:p>
    <w:p w:rsidR="00E104AF" w:rsidRDefault="00E104AF" w:rsidP="00E104AF">
      <w:pPr>
        <w:numPr>
          <w:ilvl w:val="1"/>
          <w:numId w:val="26"/>
        </w:numPr>
      </w:pPr>
      <w:r>
        <w:t>Manual Safety Thermostat:</w:t>
      </w:r>
      <w:r>
        <w:tab/>
      </w:r>
      <w:r>
        <w:tab/>
        <w:t>Fully Clockwise</w:t>
      </w:r>
    </w:p>
    <w:p w:rsidR="00E104AF" w:rsidRDefault="00E104AF" w:rsidP="00E104AF">
      <w:pPr>
        <w:numPr>
          <w:ilvl w:val="1"/>
          <w:numId w:val="26"/>
        </w:numPr>
      </w:pPr>
      <w:r>
        <w:t>Timer Alarm:</w:t>
      </w:r>
      <w:r>
        <w:tab/>
      </w:r>
      <w:r>
        <w:tab/>
      </w:r>
      <w:r>
        <w:tab/>
      </w:r>
      <w:r>
        <w:tab/>
        <w:t>Off</w:t>
      </w:r>
    </w:p>
    <w:p w:rsidR="00E104AF" w:rsidRDefault="00E104AF" w:rsidP="00E104AF">
      <w:pPr>
        <w:numPr>
          <w:ilvl w:val="1"/>
          <w:numId w:val="26"/>
        </w:numPr>
      </w:pPr>
      <w:r>
        <w:t>Count-up/Countdown:</w:t>
      </w:r>
      <w:r>
        <w:tab/>
      </w:r>
      <w:r>
        <w:tab/>
        <w:t>Count-up</w:t>
      </w:r>
    </w:p>
    <w:p w:rsidR="00E104AF" w:rsidRDefault="00E104AF" w:rsidP="00E104AF">
      <w:pPr>
        <w:numPr>
          <w:ilvl w:val="1"/>
          <w:numId w:val="26"/>
        </w:numPr>
      </w:pPr>
      <w:r>
        <w:t>Control Heating/Stop Heating:</w:t>
      </w:r>
      <w:r>
        <w:tab/>
        <w:t>Stop Heating</w:t>
      </w:r>
    </w:p>
    <w:p w:rsidR="00E104AF" w:rsidRDefault="00E104AF" w:rsidP="00E104AF">
      <w:pPr>
        <w:numPr>
          <w:ilvl w:val="1"/>
          <w:numId w:val="26"/>
        </w:numPr>
      </w:pPr>
      <w:r>
        <w:t>Auto Start/Manual Start:</w:t>
      </w:r>
      <w:r>
        <w:tab/>
      </w:r>
      <w:r>
        <w:tab/>
        <w:t>Auto Start</w:t>
      </w:r>
    </w:p>
    <w:p w:rsidR="00E104AF" w:rsidRDefault="00E104AF" w:rsidP="00E104AF">
      <w:pPr>
        <w:numPr>
          <w:ilvl w:val="1"/>
          <w:numId w:val="26"/>
        </w:numPr>
      </w:pPr>
      <w:r>
        <w:t>Time Mode:</w:t>
      </w:r>
      <w:r>
        <w:tab/>
      </w:r>
      <w:r>
        <w:tab/>
      </w:r>
      <w:r>
        <w:tab/>
      </w:r>
      <w:r>
        <w:tab/>
        <w:t>On</w:t>
      </w:r>
    </w:p>
    <w:p w:rsidR="00E104AF" w:rsidRDefault="00E104AF" w:rsidP="00E104AF">
      <w:pPr>
        <w:numPr>
          <w:ilvl w:val="1"/>
          <w:numId w:val="26"/>
        </w:numPr>
      </w:pPr>
      <w:r>
        <w:t>Hours/Minutes:</w:t>
      </w:r>
      <w:r>
        <w:tab/>
      </w:r>
      <w:r>
        <w:tab/>
      </w:r>
      <w:r>
        <w:tab/>
        <w:t>Hours</w:t>
      </w:r>
    </w:p>
    <w:p w:rsidR="00E104AF" w:rsidRDefault="00E104AF" w:rsidP="00E104AF">
      <w:pPr>
        <w:numPr>
          <w:ilvl w:val="0"/>
          <w:numId w:val="26"/>
        </w:numPr>
      </w:pPr>
      <w:r>
        <w:t>Turn main power switch on.</w:t>
      </w:r>
    </w:p>
    <w:p w:rsidR="00E104AF" w:rsidRPr="008D4F6B" w:rsidRDefault="00AA0815" w:rsidP="00AA0815">
      <w:pPr>
        <w:ind w:left="720"/>
      </w:pPr>
      <w:r w:rsidRPr="00AA0815">
        <w:rPr>
          <w:b/>
        </w:rPr>
        <w:t>NOTE</w:t>
      </w:r>
      <w:r>
        <w:t xml:space="preserve">: </w:t>
      </w:r>
      <w:r w:rsidR="00E104AF" w:rsidRPr="008D4F6B">
        <w:t>Due to the extended period of baking time, the remainder of the procedure will take place the following day:</w:t>
      </w:r>
    </w:p>
    <w:p w:rsidR="00E104AF" w:rsidRDefault="00E104AF" w:rsidP="00AA0815">
      <w:pPr>
        <w:numPr>
          <w:ilvl w:val="0"/>
          <w:numId w:val="26"/>
        </w:numPr>
      </w:pPr>
      <w:r w:rsidRPr="008D4F6B">
        <w:t xml:space="preserve">Remove </w:t>
      </w:r>
      <w:r w:rsidR="008D4F6B" w:rsidRPr="008D4F6B">
        <w:t>component(s)</w:t>
      </w:r>
      <w:r w:rsidRPr="008D4F6B">
        <w:t xml:space="preserve"> from oven.</w:t>
      </w:r>
    </w:p>
    <w:p w:rsidR="00AA0815" w:rsidRPr="008D4F6B" w:rsidRDefault="00AA0815" w:rsidP="00E104AF">
      <w:pPr>
        <w:numPr>
          <w:ilvl w:val="1"/>
          <w:numId w:val="26"/>
        </w:numPr>
      </w:pPr>
      <w:r>
        <w:t xml:space="preserve">If components are too hot to touch, allow them to cool before handling. </w:t>
      </w:r>
    </w:p>
    <w:p w:rsidR="008D4F6B" w:rsidRPr="008D4F6B" w:rsidRDefault="008D4F6B" w:rsidP="008D4F6B">
      <w:pPr>
        <w:numPr>
          <w:ilvl w:val="0"/>
          <w:numId w:val="26"/>
        </w:numPr>
      </w:pPr>
      <w:r w:rsidRPr="008D4F6B">
        <w:t>Bag the components:</w:t>
      </w:r>
    </w:p>
    <w:p w:rsidR="008D4F6B" w:rsidRPr="008D4F6B" w:rsidRDefault="008D4F6B" w:rsidP="008D4F6B">
      <w:pPr>
        <w:numPr>
          <w:ilvl w:val="0"/>
          <w:numId w:val="29"/>
        </w:numPr>
        <w:tabs>
          <w:tab w:val="num" w:pos="1080"/>
        </w:tabs>
      </w:pPr>
      <w:r w:rsidRPr="008D4F6B">
        <w:t xml:space="preserve">Ensure components have </w:t>
      </w:r>
      <w:r w:rsidR="00AA0815">
        <w:t xml:space="preserve">cooled and </w:t>
      </w:r>
      <w:r w:rsidRPr="008D4F6B">
        <w:t>dried completely before bagging.</w:t>
      </w:r>
    </w:p>
    <w:p w:rsidR="008D4F6B" w:rsidRPr="008D4F6B" w:rsidRDefault="008D4F6B" w:rsidP="008D4F6B">
      <w:pPr>
        <w:numPr>
          <w:ilvl w:val="1"/>
          <w:numId w:val="29"/>
        </w:numPr>
        <w:ind w:hanging="270"/>
      </w:pPr>
      <w:r w:rsidRPr="008D4F6B">
        <w:t>If necessary, dry component with filtered nitrogen.</w:t>
      </w:r>
    </w:p>
    <w:p w:rsidR="008D4F6B" w:rsidRPr="008D4F6B" w:rsidRDefault="008D4F6B" w:rsidP="008D4F6B">
      <w:pPr>
        <w:numPr>
          <w:ilvl w:val="0"/>
          <w:numId w:val="29"/>
        </w:numPr>
        <w:tabs>
          <w:tab w:val="num" w:pos="1080"/>
        </w:tabs>
      </w:pPr>
      <w:r w:rsidRPr="008D4F6B">
        <w:t>Bag and seal each component separately.</w:t>
      </w:r>
    </w:p>
    <w:p w:rsidR="008D4F6B" w:rsidRPr="008D4F6B" w:rsidRDefault="008D4F6B" w:rsidP="008D4F6B">
      <w:pPr>
        <w:numPr>
          <w:ilvl w:val="0"/>
          <w:numId w:val="29"/>
        </w:numPr>
        <w:tabs>
          <w:tab w:val="num" w:pos="1080"/>
        </w:tabs>
      </w:pPr>
      <w:r w:rsidRPr="008D4F6B">
        <w:t>Repeat process until all components are bagged.</w:t>
      </w:r>
    </w:p>
    <w:p w:rsidR="008D4F6B" w:rsidRDefault="008D4F6B" w:rsidP="008D4F6B">
      <w:pPr>
        <w:numPr>
          <w:ilvl w:val="0"/>
          <w:numId w:val="29"/>
        </w:numPr>
        <w:tabs>
          <w:tab w:val="num" w:pos="1080"/>
        </w:tabs>
      </w:pPr>
      <w:r w:rsidRPr="008D4F6B">
        <w:t>Transport bagged components to the next work center.</w:t>
      </w:r>
    </w:p>
    <w:p w:rsidR="005A7C7A" w:rsidRPr="005A7C7A" w:rsidRDefault="005A7C7A" w:rsidP="005A7C7A">
      <w:pPr>
        <w:ind w:left="630" w:hanging="180"/>
      </w:pPr>
    </w:p>
    <w:p w:rsidR="005A7C7A" w:rsidRPr="005A7C7A" w:rsidRDefault="005A7C7A" w:rsidP="005A7C7A">
      <w:pPr>
        <w:autoSpaceDE w:val="0"/>
        <w:autoSpaceDN w:val="0"/>
        <w:adjustRightInd w:val="0"/>
      </w:pPr>
    </w:p>
    <w:p w:rsidR="005A7C7A" w:rsidRDefault="005A7C7A" w:rsidP="005A7C7A">
      <w:pPr>
        <w:pStyle w:val="Heading1"/>
      </w:pPr>
      <w:r w:rsidRPr="001308A1">
        <w:rPr>
          <w:rStyle w:val="SC2414"/>
          <w:b/>
          <w:szCs w:val="32"/>
        </w:rPr>
        <w:t>Revision History</w:t>
      </w:r>
    </w:p>
    <w:p w:rsidR="005A7C7A" w:rsidRDefault="005A7C7A" w:rsidP="005A7C7A">
      <w:pPr>
        <w:rPr>
          <w:rFonts w:ascii="Times" w:hAnsi="Times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="005A7C7A" w:rsidRPr="004563B5" w:rsidTr="007D4BBE">
        <w:trPr>
          <w:trHeight w:val="273"/>
          <w:jc w:val="center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 #</w:t>
            </w:r>
          </w:p>
        </w:tc>
        <w:tc>
          <w:tcPr>
            <w:tcW w:w="635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Revision or update:</w:t>
            </w:r>
          </w:p>
        </w:tc>
        <w:tc>
          <w:tcPr>
            <w:tcW w:w="17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Effective:</w:t>
            </w:r>
          </w:p>
        </w:tc>
      </w:tr>
      <w:tr w:rsidR="005A7C7A" w:rsidRPr="004563B5" w:rsidTr="007D4BBE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C100C4" w:rsidP="007D4BBE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  <w:r w:rsidRPr="00C100C4">
              <w:rPr>
                <w:rStyle w:val="SC2414"/>
                <w:b w:val="0"/>
                <w:sz w:val="20"/>
                <w:szCs w:val="20"/>
              </w:rPr>
              <w:t xml:space="preserve">Release 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C100C4" w:rsidP="00C100C4">
            <w:pPr>
              <w:jc w:val="center"/>
              <w:rPr>
                <w:bCs/>
                <w:sz w:val="20"/>
                <w:szCs w:val="20"/>
              </w:rPr>
            </w:pPr>
            <w:r w:rsidRPr="00C100C4">
              <w:rPr>
                <w:bCs/>
                <w:sz w:val="20"/>
                <w:szCs w:val="20"/>
              </w:rPr>
              <w:t xml:space="preserve">Initial Release 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8D4F6B" w:rsidP="00344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5/15/2020</w:t>
            </w:r>
          </w:p>
        </w:tc>
      </w:tr>
      <w:tr w:rsidR="005A7C7A" w:rsidRPr="004563B5" w:rsidTr="007D4BBE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5A7C7A" w:rsidP="008D4F6B">
            <w:pPr>
              <w:pStyle w:val="Default"/>
              <w:rPr>
                <w:rStyle w:val="SC2414"/>
                <w:b w:val="0"/>
                <w:sz w:val="20"/>
                <w:szCs w:val="20"/>
              </w:rPr>
            </w:pP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5A7C7A" w:rsidP="007D4BB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5A7C7A" w:rsidP="007D4B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5A7C7A" w:rsidRDefault="005A7C7A" w:rsidP="005A7C7A">
      <w:pPr>
        <w:rPr>
          <w:rStyle w:val="SC2414"/>
          <w:rFonts w:ascii="Times" w:hAnsi="Times"/>
          <w:b w:val="0"/>
          <w:szCs w:val="18"/>
        </w:rPr>
      </w:pPr>
    </w:p>
    <w:p w:rsidR="005A7C7A" w:rsidRDefault="005A7C7A" w:rsidP="005A7C7A">
      <w:pPr>
        <w:autoSpaceDE w:val="0"/>
        <w:autoSpaceDN w:val="0"/>
        <w:adjustRightInd w:val="0"/>
      </w:pPr>
    </w:p>
    <w:p w:rsidR="00B05EDD" w:rsidRDefault="00E868D5" w:rsidP="005A7C7A">
      <w:pPr>
        <w:autoSpaceDE w:val="0"/>
        <w:autoSpaceDN w:val="0"/>
        <w:adjustRightInd w:val="0"/>
      </w:pPr>
      <w:r>
        <w:br w:type="page"/>
      </w:r>
    </w:p>
    <w:p w:rsidR="00B05EDD" w:rsidRDefault="00B05EDD" w:rsidP="005A7C7A">
      <w:pPr>
        <w:autoSpaceDE w:val="0"/>
        <w:autoSpaceDN w:val="0"/>
        <w:adjustRightInd w:val="0"/>
      </w:pPr>
    </w:p>
    <w:p w:rsidR="00B05EDD" w:rsidRPr="005A7C7A" w:rsidRDefault="00B05EDD" w:rsidP="005A7C7A">
      <w:pPr>
        <w:autoSpaceDE w:val="0"/>
        <w:autoSpaceDN w:val="0"/>
        <w:adjustRightInd w:val="0"/>
      </w:pPr>
    </w:p>
    <w:p w:rsidR="00C100C4" w:rsidRDefault="00C100C4" w:rsidP="00C100C4">
      <w:pPr>
        <w:pStyle w:val="Heading1"/>
        <w:rPr>
          <w:rStyle w:val="SC2414"/>
          <w:b/>
          <w:szCs w:val="18"/>
        </w:rPr>
      </w:pPr>
      <w:r w:rsidRPr="001308A1">
        <w:rPr>
          <w:rStyle w:val="SC2414"/>
          <w:b/>
          <w:szCs w:val="18"/>
        </w:rPr>
        <w:t>Approvals</w:t>
      </w:r>
    </w:p>
    <w:p w:rsidR="00C100C4" w:rsidRDefault="00C100C4" w:rsidP="00C100C4">
      <w:pPr>
        <w:rPr>
          <w:rFonts w:ascii="Times" w:hAnsi="Times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488"/>
        <w:gridCol w:w="4027"/>
        <w:gridCol w:w="1800"/>
      </w:tblGrid>
      <w:tr w:rsidR="00C100C4" w:rsidRPr="004563B5" w:rsidTr="007D4BBE">
        <w:trPr>
          <w:trHeight w:val="282"/>
          <w:jc w:val="center"/>
        </w:trPr>
        <w:tc>
          <w:tcPr>
            <w:tcW w:w="3488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jc w:val="center"/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Approved by:</w:t>
            </w:r>
          </w:p>
        </w:tc>
        <w:tc>
          <w:tcPr>
            <w:tcW w:w="4027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ind w:right="-115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80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Date:</w:t>
            </w:r>
          </w:p>
        </w:tc>
      </w:tr>
      <w:tr w:rsidR="00413FD7" w:rsidRPr="004563B5" w:rsidTr="007D4BBE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Pr="00B6389D" w:rsidRDefault="00413FD7" w:rsidP="00413FD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 xml:space="preserve">Document Owner </w:t>
            </w:r>
            <w:r w:rsidR="00570691">
              <w:rPr>
                <w:rFonts w:cs="Calibri"/>
                <w:b/>
                <w:color w:val="auto"/>
                <w:sz w:val="20"/>
                <w:szCs w:val="20"/>
              </w:rPr>
              <w:t>(A. Mitchell)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Default="00413FD7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Pr="004563B5" w:rsidRDefault="00413FD7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100C4" w:rsidRPr="004563B5" w:rsidTr="003C085B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B6389D" w:rsidRDefault="008D4F6B" w:rsidP="00E8679F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Reviewer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100C4" w:rsidRPr="004563B5" w:rsidTr="003C085B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8D4F6B" w:rsidP="00E8679F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6389D">
              <w:rPr>
                <w:rFonts w:cs="Calibri"/>
                <w:b/>
                <w:color w:val="auto"/>
                <w:sz w:val="20"/>
                <w:szCs w:val="20"/>
              </w:rPr>
              <w:t xml:space="preserve">SRF Operations </w:t>
            </w:r>
            <w:r>
              <w:rPr>
                <w:rFonts w:cs="Calibri"/>
                <w:b/>
                <w:color w:val="auto"/>
                <w:sz w:val="20"/>
                <w:szCs w:val="20"/>
              </w:rPr>
              <w:t>Department Head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:rsidR="00C100C4" w:rsidRDefault="00C100C4" w:rsidP="00C100C4"/>
    <w:p w:rsidR="007954DE" w:rsidRPr="001308A1" w:rsidRDefault="007954DE" w:rsidP="007954DE">
      <w:pPr>
        <w:tabs>
          <w:tab w:val="left" w:pos="360"/>
        </w:tabs>
        <w:spacing w:after="200" w:line="276" w:lineRule="auto"/>
        <w:rPr>
          <w:rFonts w:ascii="Times" w:hAnsi="Times" w:cs="Calibri"/>
          <w:b/>
          <w:color w:val="auto"/>
          <w:sz w:val="20"/>
          <w:szCs w:val="20"/>
        </w:rPr>
      </w:pPr>
    </w:p>
    <w:sectPr w:rsidR="007954DE" w:rsidRPr="001308A1" w:rsidSect="00B43C3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1A" w:rsidRDefault="00DB151A" w:rsidP="00470DBE">
      <w:r>
        <w:separator/>
      </w:r>
    </w:p>
    <w:p w:rsidR="00DB151A" w:rsidRDefault="00DB151A"/>
    <w:p w:rsidR="00DB151A" w:rsidRDefault="00DB151A" w:rsidP="003D67BE"/>
  </w:endnote>
  <w:endnote w:type="continuationSeparator" w:id="0">
    <w:p w:rsidR="00DB151A" w:rsidRDefault="00DB151A" w:rsidP="00470DBE">
      <w:r>
        <w:continuationSeparator/>
      </w:r>
    </w:p>
    <w:p w:rsidR="00DB151A" w:rsidRDefault="00DB151A"/>
    <w:p w:rsidR="00DB151A" w:rsidRDefault="00DB151A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94" w:rsidRPr="009229C5" w:rsidRDefault="00403494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AA0815">
      <w:rPr>
        <w:rFonts w:ascii="Arial" w:hAnsi="Arial" w:cs="Arial"/>
        <w:b/>
        <w:noProof/>
        <w:sz w:val="16"/>
        <w:szCs w:val="16"/>
      </w:rPr>
      <w:t>3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AA0815">
      <w:rPr>
        <w:rFonts w:ascii="Arial" w:hAnsi="Arial" w:cs="Arial"/>
        <w:b/>
        <w:noProof/>
        <w:sz w:val="16"/>
        <w:szCs w:val="16"/>
      </w:rPr>
      <w:t>3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94" w:rsidRPr="00FB702E" w:rsidRDefault="00403494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AA0815">
      <w:rPr>
        <w:rFonts w:ascii="Arial" w:hAnsi="Arial" w:cs="Arial"/>
        <w:i/>
        <w:noProof/>
        <w:sz w:val="16"/>
        <w:szCs w:val="16"/>
      </w:rPr>
      <w:t>5/19/2020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:rsidR="00403494" w:rsidRPr="00D437E2" w:rsidRDefault="00403494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AA0815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AA0815">
      <w:rPr>
        <w:rFonts w:ascii="Arial" w:hAnsi="Arial" w:cs="Arial"/>
        <w:b/>
        <w:noProof/>
        <w:sz w:val="16"/>
        <w:szCs w:val="16"/>
      </w:rPr>
      <w:t>3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1A" w:rsidRDefault="00DB151A" w:rsidP="00470DBE">
      <w:r>
        <w:separator/>
      </w:r>
    </w:p>
    <w:p w:rsidR="00DB151A" w:rsidRDefault="00DB151A"/>
    <w:p w:rsidR="00DB151A" w:rsidRDefault="00DB151A" w:rsidP="003D67BE"/>
  </w:footnote>
  <w:footnote w:type="continuationSeparator" w:id="0">
    <w:p w:rsidR="00DB151A" w:rsidRDefault="00DB151A" w:rsidP="00470DBE">
      <w:r>
        <w:continuationSeparator/>
      </w:r>
    </w:p>
    <w:p w:rsidR="00DB151A" w:rsidRDefault="00DB151A"/>
    <w:p w:rsidR="00DB151A" w:rsidRDefault="00DB151A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4"/>
      <w:gridCol w:w="2896"/>
      <w:gridCol w:w="3540"/>
    </w:tblGrid>
    <w:tr w:rsidR="00B43C3C" w:rsidRPr="00CD3F50" w:rsidTr="00992CE4">
      <w:tc>
        <w:tcPr>
          <w:tcW w:w="3651" w:type="dxa"/>
          <w:shd w:val="clear" w:color="auto" w:fill="auto"/>
        </w:tcPr>
        <w:p w:rsidR="00B43C3C" w:rsidRPr="001F6D4C" w:rsidRDefault="00DB151A" w:rsidP="00B43C3C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66925" cy="6889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:rsidR="00B43C3C" w:rsidRPr="00CD3F50" w:rsidRDefault="00B43C3C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:rsidR="00B43C3C" w:rsidRDefault="004C7AAF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4C7AAF">
            <w:rPr>
              <w:rFonts w:ascii="Calibri" w:hAnsi="Calibri" w:cs="Calibri"/>
              <w:color w:val="C00000"/>
              <w:sz w:val="16"/>
              <w:szCs w:val="16"/>
            </w:rPr>
            <w:t>CP-PROJ-SYS-WK</w:t>
          </w:r>
          <w:r w:rsidR="007954DE">
            <w:rPr>
              <w:rFonts w:ascii="Calibri" w:hAnsi="Calibri" w:cs="Calibri"/>
              <w:color w:val="C00000"/>
              <w:sz w:val="16"/>
              <w:szCs w:val="16"/>
            </w:rPr>
            <w:t>S</w:t>
          </w:r>
          <w:r w:rsidRPr="004C7AAF">
            <w:rPr>
              <w:rFonts w:ascii="Calibri" w:hAnsi="Calibri" w:cs="Calibri"/>
              <w:color w:val="C00000"/>
              <w:sz w:val="16"/>
              <w:szCs w:val="16"/>
            </w:rPr>
            <w:t>-COMP</w:t>
          </w:r>
        </w:p>
        <w:p w:rsidR="00C100C4" w:rsidRPr="00CD3F50" w:rsidRDefault="005C0018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 \* MERGEFORMAT </w:instrText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 \* MERGEFORMAT </w:instrText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t>Title of Procedure</w:t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\* Caps  \* MERGEFORMAT </w:instrText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="00C100C4">
            <w:rPr>
              <w:rFonts w:ascii="Calibri" w:hAnsi="Calibri" w:cs="Calibri"/>
              <w:color w:val="C00000"/>
              <w:sz w:val="16"/>
              <w:szCs w:val="16"/>
            </w:rPr>
            <w:t xml:space="preserve"> </w:t>
          </w:r>
        </w:p>
        <w:p w:rsidR="00B43C3C" w:rsidRPr="00CD3F50" w:rsidRDefault="00B43C3C" w:rsidP="004C7DE2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:rsidR="00403494" w:rsidRDefault="00403494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F5" w:rsidRDefault="00DB151A" w:rsidP="006A2E18">
    <w:pPr>
      <w:pStyle w:val="Header"/>
      <w:ind w:left="-270"/>
      <w:rPr>
        <w:noProof/>
      </w:rPr>
    </w:pPr>
    <w:r>
      <w:rPr>
        <w:noProof/>
      </w:rPr>
      <w:drawing>
        <wp:inline distT="0" distB="0" distL="0" distR="0">
          <wp:extent cx="2169795" cy="676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FF5"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1925320" cy="4572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3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FF5" w:rsidRDefault="00FA7FF5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B00ED3"/>
    <w:multiLevelType w:val="hybridMultilevel"/>
    <w:tmpl w:val="B17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10D6"/>
    <w:multiLevelType w:val="hybridMultilevel"/>
    <w:tmpl w:val="90F0E4CC"/>
    <w:lvl w:ilvl="0" w:tplc="71FC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FF57992"/>
    <w:multiLevelType w:val="hybridMultilevel"/>
    <w:tmpl w:val="300CA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4EB1"/>
    <w:multiLevelType w:val="hybridMultilevel"/>
    <w:tmpl w:val="27E86B78"/>
    <w:lvl w:ilvl="0" w:tplc="43AED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2BC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86CD8"/>
    <w:multiLevelType w:val="hybridMultilevel"/>
    <w:tmpl w:val="C7F6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6C8"/>
    <w:multiLevelType w:val="hybridMultilevel"/>
    <w:tmpl w:val="B88EB7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B0F1B"/>
    <w:multiLevelType w:val="hybridMultilevel"/>
    <w:tmpl w:val="86804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912CF5"/>
    <w:multiLevelType w:val="hybridMultilevel"/>
    <w:tmpl w:val="233E4CB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D0527BDC">
      <w:start w:val="1"/>
      <w:numFmt w:val="lowerRoman"/>
      <w:lvlText w:val="%2."/>
      <w:lvlJc w:val="righ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E7FA0"/>
    <w:multiLevelType w:val="hybridMultilevel"/>
    <w:tmpl w:val="DCA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84FE3"/>
    <w:multiLevelType w:val="hybridMultilevel"/>
    <w:tmpl w:val="55CA84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81069"/>
    <w:multiLevelType w:val="hybridMultilevel"/>
    <w:tmpl w:val="932C6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0E0E23"/>
    <w:multiLevelType w:val="hybridMultilevel"/>
    <w:tmpl w:val="903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0" w15:restartNumberingAfterBreak="0">
    <w:nsid w:val="662D2A30"/>
    <w:multiLevelType w:val="multilevel"/>
    <w:tmpl w:val="446400F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8ED0C80"/>
    <w:multiLevelType w:val="hybridMultilevel"/>
    <w:tmpl w:val="7FA67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5027FC"/>
    <w:multiLevelType w:val="hybridMultilevel"/>
    <w:tmpl w:val="CCC095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5D2B2DA">
      <w:start w:val="9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F492227"/>
    <w:multiLevelType w:val="hybridMultilevel"/>
    <w:tmpl w:val="BC128DBE"/>
    <w:lvl w:ilvl="0" w:tplc="06F2D878">
      <w:start w:val="1"/>
      <w:numFmt w:val="decimal"/>
      <w:lvlText w:val="%1.0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4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587CF4"/>
    <w:multiLevelType w:val="hybridMultilevel"/>
    <w:tmpl w:val="94B44532"/>
    <w:lvl w:ilvl="0" w:tplc="0386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20"/>
  </w:num>
  <w:num w:numId="5">
    <w:abstractNumId w:val="4"/>
  </w:num>
  <w:num w:numId="6">
    <w:abstractNumId w:val="26"/>
  </w:num>
  <w:num w:numId="7">
    <w:abstractNumId w:val="19"/>
  </w:num>
  <w:num w:numId="8">
    <w:abstractNumId w:val="25"/>
  </w:num>
  <w:num w:numId="9">
    <w:abstractNumId w:val="12"/>
  </w:num>
  <w:num w:numId="10">
    <w:abstractNumId w:val="1"/>
  </w:num>
  <w:num w:numId="11">
    <w:abstractNumId w:val="9"/>
  </w:num>
  <w:num w:numId="12">
    <w:abstractNumId w:val="11"/>
  </w:num>
  <w:num w:numId="13">
    <w:abstractNumId w:val="27"/>
  </w:num>
  <w:num w:numId="14">
    <w:abstractNumId w:val="13"/>
  </w:num>
  <w:num w:numId="15">
    <w:abstractNumId w:val="23"/>
  </w:num>
  <w:num w:numId="16">
    <w:abstractNumId w:val="5"/>
  </w:num>
  <w:num w:numId="17">
    <w:abstractNumId w:val="3"/>
  </w:num>
  <w:num w:numId="18">
    <w:abstractNumId w:val="8"/>
  </w:num>
  <w:num w:numId="19">
    <w:abstractNumId w:val="2"/>
  </w:num>
  <w:num w:numId="20">
    <w:abstractNumId w:val="7"/>
  </w:num>
  <w:num w:numId="21">
    <w:abstractNumId w:val="17"/>
  </w:num>
  <w:num w:numId="22">
    <w:abstractNumId w:val="21"/>
  </w:num>
  <w:num w:numId="23">
    <w:abstractNumId w:val="16"/>
  </w:num>
  <w:num w:numId="24">
    <w:abstractNumId w:val="14"/>
  </w:num>
  <w:num w:numId="25">
    <w:abstractNumId w:val="28"/>
  </w:num>
  <w:num w:numId="26">
    <w:abstractNumId w:val="15"/>
  </w:num>
  <w:num w:numId="27">
    <w:abstractNumId w:val="10"/>
  </w:num>
  <w:num w:numId="28">
    <w:abstractNumId w:val="6"/>
  </w:num>
  <w:num w:numId="2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DB151A"/>
    <w:rsid w:val="00001584"/>
    <w:rsid w:val="00001EDF"/>
    <w:rsid w:val="00003482"/>
    <w:rsid w:val="00004572"/>
    <w:rsid w:val="00021B3D"/>
    <w:rsid w:val="000236C0"/>
    <w:rsid w:val="00027132"/>
    <w:rsid w:val="0002782E"/>
    <w:rsid w:val="00035BC0"/>
    <w:rsid w:val="00036743"/>
    <w:rsid w:val="000372EB"/>
    <w:rsid w:val="000433E6"/>
    <w:rsid w:val="000439BA"/>
    <w:rsid w:val="000455C5"/>
    <w:rsid w:val="00051445"/>
    <w:rsid w:val="0005394E"/>
    <w:rsid w:val="000555A9"/>
    <w:rsid w:val="000600E7"/>
    <w:rsid w:val="000659D5"/>
    <w:rsid w:val="00070BCB"/>
    <w:rsid w:val="00077DB8"/>
    <w:rsid w:val="00080593"/>
    <w:rsid w:val="00083175"/>
    <w:rsid w:val="00086387"/>
    <w:rsid w:val="00086C89"/>
    <w:rsid w:val="00091871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3FA6"/>
    <w:rsid w:val="000D61C6"/>
    <w:rsid w:val="000D7429"/>
    <w:rsid w:val="000E0E69"/>
    <w:rsid w:val="000E22DA"/>
    <w:rsid w:val="000E3C54"/>
    <w:rsid w:val="000E7111"/>
    <w:rsid w:val="000E794D"/>
    <w:rsid w:val="000E7B7C"/>
    <w:rsid w:val="000F1498"/>
    <w:rsid w:val="000F3AFC"/>
    <w:rsid w:val="000F41E7"/>
    <w:rsid w:val="000F5A0E"/>
    <w:rsid w:val="00103BC6"/>
    <w:rsid w:val="001103EA"/>
    <w:rsid w:val="00111445"/>
    <w:rsid w:val="00111ADA"/>
    <w:rsid w:val="0011304F"/>
    <w:rsid w:val="00113F51"/>
    <w:rsid w:val="00114E62"/>
    <w:rsid w:val="0011696B"/>
    <w:rsid w:val="0012315B"/>
    <w:rsid w:val="00125653"/>
    <w:rsid w:val="00125890"/>
    <w:rsid w:val="001277C8"/>
    <w:rsid w:val="001308A1"/>
    <w:rsid w:val="00131C87"/>
    <w:rsid w:val="001411BA"/>
    <w:rsid w:val="001456B7"/>
    <w:rsid w:val="00157CF5"/>
    <w:rsid w:val="00166805"/>
    <w:rsid w:val="00167A05"/>
    <w:rsid w:val="00170E83"/>
    <w:rsid w:val="00175C5D"/>
    <w:rsid w:val="00176E67"/>
    <w:rsid w:val="00181200"/>
    <w:rsid w:val="00182700"/>
    <w:rsid w:val="0018479E"/>
    <w:rsid w:val="00186ECF"/>
    <w:rsid w:val="00190822"/>
    <w:rsid w:val="001941F1"/>
    <w:rsid w:val="00194BF6"/>
    <w:rsid w:val="001A29B7"/>
    <w:rsid w:val="001B11A0"/>
    <w:rsid w:val="001B322D"/>
    <w:rsid w:val="001B57A8"/>
    <w:rsid w:val="001B7BF9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3EB4"/>
    <w:rsid w:val="002169BB"/>
    <w:rsid w:val="002312FA"/>
    <w:rsid w:val="0023133E"/>
    <w:rsid w:val="002341C1"/>
    <w:rsid w:val="00236D52"/>
    <w:rsid w:val="00237FD1"/>
    <w:rsid w:val="00241C2C"/>
    <w:rsid w:val="00243EA5"/>
    <w:rsid w:val="00245103"/>
    <w:rsid w:val="0024536D"/>
    <w:rsid w:val="002462F4"/>
    <w:rsid w:val="002476E3"/>
    <w:rsid w:val="00252BE9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B23C4"/>
    <w:rsid w:val="002B713B"/>
    <w:rsid w:val="002B7981"/>
    <w:rsid w:val="002B7AE1"/>
    <w:rsid w:val="002B7E3E"/>
    <w:rsid w:val="002C11D9"/>
    <w:rsid w:val="002C4517"/>
    <w:rsid w:val="002C65F3"/>
    <w:rsid w:val="002D06D9"/>
    <w:rsid w:val="002D45B5"/>
    <w:rsid w:val="002D4E10"/>
    <w:rsid w:val="002D642C"/>
    <w:rsid w:val="002E0346"/>
    <w:rsid w:val="002E5378"/>
    <w:rsid w:val="002E7B5A"/>
    <w:rsid w:val="002F336F"/>
    <w:rsid w:val="002F771B"/>
    <w:rsid w:val="00306379"/>
    <w:rsid w:val="0031299E"/>
    <w:rsid w:val="00316E9F"/>
    <w:rsid w:val="0031751F"/>
    <w:rsid w:val="0032040F"/>
    <w:rsid w:val="00325FCC"/>
    <w:rsid w:val="0032760E"/>
    <w:rsid w:val="00330914"/>
    <w:rsid w:val="00333FAB"/>
    <w:rsid w:val="00337888"/>
    <w:rsid w:val="00343681"/>
    <w:rsid w:val="00343728"/>
    <w:rsid w:val="0034490A"/>
    <w:rsid w:val="0034491F"/>
    <w:rsid w:val="003473B6"/>
    <w:rsid w:val="00350016"/>
    <w:rsid w:val="0035178D"/>
    <w:rsid w:val="00351E55"/>
    <w:rsid w:val="003529C8"/>
    <w:rsid w:val="00355F88"/>
    <w:rsid w:val="0036091D"/>
    <w:rsid w:val="00360D1D"/>
    <w:rsid w:val="00362AC1"/>
    <w:rsid w:val="00364A9B"/>
    <w:rsid w:val="00367713"/>
    <w:rsid w:val="00370DC4"/>
    <w:rsid w:val="003726D1"/>
    <w:rsid w:val="0037296C"/>
    <w:rsid w:val="003807E8"/>
    <w:rsid w:val="0038120E"/>
    <w:rsid w:val="00382331"/>
    <w:rsid w:val="00384186"/>
    <w:rsid w:val="00387DB2"/>
    <w:rsid w:val="003938A1"/>
    <w:rsid w:val="003A19B6"/>
    <w:rsid w:val="003B4882"/>
    <w:rsid w:val="003B4BD3"/>
    <w:rsid w:val="003B749A"/>
    <w:rsid w:val="003C085B"/>
    <w:rsid w:val="003C1755"/>
    <w:rsid w:val="003C3D36"/>
    <w:rsid w:val="003C5CB0"/>
    <w:rsid w:val="003C628A"/>
    <w:rsid w:val="003C6AB5"/>
    <w:rsid w:val="003C6C0B"/>
    <w:rsid w:val="003D43F4"/>
    <w:rsid w:val="003D5E70"/>
    <w:rsid w:val="003D67BE"/>
    <w:rsid w:val="003D68F8"/>
    <w:rsid w:val="003D761C"/>
    <w:rsid w:val="003E3FD3"/>
    <w:rsid w:val="003E4938"/>
    <w:rsid w:val="003E5598"/>
    <w:rsid w:val="003E59C8"/>
    <w:rsid w:val="003E6C0A"/>
    <w:rsid w:val="003E7079"/>
    <w:rsid w:val="003E7096"/>
    <w:rsid w:val="003F06FA"/>
    <w:rsid w:val="00403494"/>
    <w:rsid w:val="004074DC"/>
    <w:rsid w:val="00413FD7"/>
    <w:rsid w:val="0041421A"/>
    <w:rsid w:val="00415171"/>
    <w:rsid w:val="004178B2"/>
    <w:rsid w:val="00417F4F"/>
    <w:rsid w:val="00420928"/>
    <w:rsid w:val="004216BF"/>
    <w:rsid w:val="00426F9B"/>
    <w:rsid w:val="00431F32"/>
    <w:rsid w:val="00434FE2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436A"/>
    <w:rsid w:val="004C3655"/>
    <w:rsid w:val="004C4662"/>
    <w:rsid w:val="004C5BDC"/>
    <w:rsid w:val="004C75C6"/>
    <w:rsid w:val="004C7AAF"/>
    <w:rsid w:val="004C7DE2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04D48"/>
    <w:rsid w:val="00511242"/>
    <w:rsid w:val="00521CE4"/>
    <w:rsid w:val="0052241C"/>
    <w:rsid w:val="00525E64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461"/>
    <w:rsid w:val="00566E4B"/>
    <w:rsid w:val="00570691"/>
    <w:rsid w:val="00571382"/>
    <w:rsid w:val="00572943"/>
    <w:rsid w:val="00573213"/>
    <w:rsid w:val="005812A7"/>
    <w:rsid w:val="00581E04"/>
    <w:rsid w:val="00593BD6"/>
    <w:rsid w:val="005944AD"/>
    <w:rsid w:val="00594AA3"/>
    <w:rsid w:val="0059666F"/>
    <w:rsid w:val="00597BD4"/>
    <w:rsid w:val="005A50FF"/>
    <w:rsid w:val="005A6664"/>
    <w:rsid w:val="005A7C7A"/>
    <w:rsid w:val="005B0C44"/>
    <w:rsid w:val="005B30D9"/>
    <w:rsid w:val="005C0018"/>
    <w:rsid w:val="005C339F"/>
    <w:rsid w:val="005C3F10"/>
    <w:rsid w:val="005C3F1B"/>
    <w:rsid w:val="005D2A38"/>
    <w:rsid w:val="005D4AB2"/>
    <w:rsid w:val="005E30A8"/>
    <w:rsid w:val="005E54E7"/>
    <w:rsid w:val="005F5B17"/>
    <w:rsid w:val="00600754"/>
    <w:rsid w:val="00603B71"/>
    <w:rsid w:val="00603EDE"/>
    <w:rsid w:val="00607C1D"/>
    <w:rsid w:val="006111E6"/>
    <w:rsid w:val="0061439A"/>
    <w:rsid w:val="00614D53"/>
    <w:rsid w:val="006208BF"/>
    <w:rsid w:val="006250A9"/>
    <w:rsid w:val="00625293"/>
    <w:rsid w:val="0062656B"/>
    <w:rsid w:val="006272DA"/>
    <w:rsid w:val="00636B7A"/>
    <w:rsid w:val="00641F16"/>
    <w:rsid w:val="0064423F"/>
    <w:rsid w:val="00653A87"/>
    <w:rsid w:val="00656308"/>
    <w:rsid w:val="0065661E"/>
    <w:rsid w:val="00657857"/>
    <w:rsid w:val="00660665"/>
    <w:rsid w:val="0066177A"/>
    <w:rsid w:val="00671C96"/>
    <w:rsid w:val="00673F41"/>
    <w:rsid w:val="006803C0"/>
    <w:rsid w:val="00682823"/>
    <w:rsid w:val="006835DC"/>
    <w:rsid w:val="00684BB1"/>
    <w:rsid w:val="00686D3A"/>
    <w:rsid w:val="00686E23"/>
    <w:rsid w:val="00687710"/>
    <w:rsid w:val="00691072"/>
    <w:rsid w:val="00697CC5"/>
    <w:rsid w:val="006A1DF1"/>
    <w:rsid w:val="006A2B87"/>
    <w:rsid w:val="006A2E18"/>
    <w:rsid w:val="006A3E9B"/>
    <w:rsid w:val="006B2535"/>
    <w:rsid w:val="006B406C"/>
    <w:rsid w:val="006B46E0"/>
    <w:rsid w:val="006B51C9"/>
    <w:rsid w:val="006B547E"/>
    <w:rsid w:val="006C6230"/>
    <w:rsid w:val="006C66E5"/>
    <w:rsid w:val="006D3A90"/>
    <w:rsid w:val="006D662C"/>
    <w:rsid w:val="006E2133"/>
    <w:rsid w:val="006E4F72"/>
    <w:rsid w:val="006E6BB8"/>
    <w:rsid w:val="006E7FAA"/>
    <w:rsid w:val="006F0FAC"/>
    <w:rsid w:val="006F708C"/>
    <w:rsid w:val="007041AB"/>
    <w:rsid w:val="007047A7"/>
    <w:rsid w:val="007049C5"/>
    <w:rsid w:val="007053E5"/>
    <w:rsid w:val="00707672"/>
    <w:rsid w:val="0072170F"/>
    <w:rsid w:val="0072271F"/>
    <w:rsid w:val="007254C5"/>
    <w:rsid w:val="007307CA"/>
    <w:rsid w:val="00731230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4B5"/>
    <w:rsid w:val="00777506"/>
    <w:rsid w:val="00780BF0"/>
    <w:rsid w:val="007834E2"/>
    <w:rsid w:val="00787428"/>
    <w:rsid w:val="007904A0"/>
    <w:rsid w:val="0079496A"/>
    <w:rsid w:val="007954DE"/>
    <w:rsid w:val="007962D4"/>
    <w:rsid w:val="007A2D36"/>
    <w:rsid w:val="007A357E"/>
    <w:rsid w:val="007A3FF1"/>
    <w:rsid w:val="007A40F8"/>
    <w:rsid w:val="007B5E4A"/>
    <w:rsid w:val="007B6034"/>
    <w:rsid w:val="007C0447"/>
    <w:rsid w:val="007C3E13"/>
    <w:rsid w:val="007D0D15"/>
    <w:rsid w:val="007D0E46"/>
    <w:rsid w:val="007D4BBE"/>
    <w:rsid w:val="007D61CC"/>
    <w:rsid w:val="007E3DFD"/>
    <w:rsid w:val="007F51D5"/>
    <w:rsid w:val="007F5443"/>
    <w:rsid w:val="007F725D"/>
    <w:rsid w:val="008001C7"/>
    <w:rsid w:val="008042F6"/>
    <w:rsid w:val="00804877"/>
    <w:rsid w:val="00810375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4664"/>
    <w:rsid w:val="00844FBF"/>
    <w:rsid w:val="008467AD"/>
    <w:rsid w:val="008561E5"/>
    <w:rsid w:val="00856407"/>
    <w:rsid w:val="00860C95"/>
    <w:rsid w:val="00863E4A"/>
    <w:rsid w:val="008644C4"/>
    <w:rsid w:val="00866704"/>
    <w:rsid w:val="00873925"/>
    <w:rsid w:val="008766EB"/>
    <w:rsid w:val="008766EF"/>
    <w:rsid w:val="00882358"/>
    <w:rsid w:val="00897D18"/>
    <w:rsid w:val="008A0D21"/>
    <w:rsid w:val="008A227D"/>
    <w:rsid w:val="008A5E56"/>
    <w:rsid w:val="008A764E"/>
    <w:rsid w:val="008A7736"/>
    <w:rsid w:val="008B31EE"/>
    <w:rsid w:val="008B32A6"/>
    <w:rsid w:val="008B7916"/>
    <w:rsid w:val="008B7F10"/>
    <w:rsid w:val="008C08B5"/>
    <w:rsid w:val="008C79BF"/>
    <w:rsid w:val="008D1E9E"/>
    <w:rsid w:val="008D4F6B"/>
    <w:rsid w:val="008D5E74"/>
    <w:rsid w:val="008D64A1"/>
    <w:rsid w:val="008E0ADC"/>
    <w:rsid w:val="008E1775"/>
    <w:rsid w:val="008E3B19"/>
    <w:rsid w:val="008E5E68"/>
    <w:rsid w:val="008E7D97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9C8"/>
    <w:rsid w:val="00923B06"/>
    <w:rsid w:val="00931C5E"/>
    <w:rsid w:val="009361CC"/>
    <w:rsid w:val="009404C3"/>
    <w:rsid w:val="00942F6D"/>
    <w:rsid w:val="00950E87"/>
    <w:rsid w:val="0095121F"/>
    <w:rsid w:val="00952765"/>
    <w:rsid w:val="0095489A"/>
    <w:rsid w:val="00961195"/>
    <w:rsid w:val="00962CDB"/>
    <w:rsid w:val="009630F7"/>
    <w:rsid w:val="0096432B"/>
    <w:rsid w:val="009725EE"/>
    <w:rsid w:val="0097340E"/>
    <w:rsid w:val="009747B6"/>
    <w:rsid w:val="00980B79"/>
    <w:rsid w:val="009832B2"/>
    <w:rsid w:val="009844B1"/>
    <w:rsid w:val="009879F7"/>
    <w:rsid w:val="009913B1"/>
    <w:rsid w:val="0099256A"/>
    <w:rsid w:val="00992CE4"/>
    <w:rsid w:val="009A0F34"/>
    <w:rsid w:val="009A1B47"/>
    <w:rsid w:val="009B22A6"/>
    <w:rsid w:val="009B614A"/>
    <w:rsid w:val="009C0D84"/>
    <w:rsid w:val="009C3688"/>
    <w:rsid w:val="009C4B08"/>
    <w:rsid w:val="009D068A"/>
    <w:rsid w:val="009D06BE"/>
    <w:rsid w:val="009D688D"/>
    <w:rsid w:val="009E221A"/>
    <w:rsid w:val="009E4F1C"/>
    <w:rsid w:val="009E6316"/>
    <w:rsid w:val="009F4A5E"/>
    <w:rsid w:val="009F4D06"/>
    <w:rsid w:val="009F4FC2"/>
    <w:rsid w:val="00A0248C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1F35"/>
    <w:rsid w:val="00A32775"/>
    <w:rsid w:val="00A33230"/>
    <w:rsid w:val="00A342C2"/>
    <w:rsid w:val="00A3464A"/>
    <w:rsid w:val="00A35CD7"/>
    <w:rsid w:val="00A36546"/>
    <w:rsid w:val="00A41707"/>
    <w:rsid w:val="00A44D8B"/>
    <w:rsid w:val="00A451C9"/>
    <w:rsid w:val="00A501C0"/>
    <w:rsid w:val="00A507EE"/>
    <w:rsid w:val="00A558C5"/>
    <w:rsid w:val="00A56599"/>
    <w:rsid w:val="00A613EA"/>
    <w:rsid w:val="00A6149B"/>
    <w:rsid w:val="00A63309"/>
    <w:rsid w:val="00A663BC"/>
    <w:rsid w:val="00A75800"/>
    <w:rsid w:val="00A80358"/>
    <w:rsid w:val="00A81CC1"/>
    <w:rsid w:val="00A85B3D"/>
    <w:rsid w:val="00A87C4D"/>
    <w:rsid w:val="00A95A01"/>
    <w:rsid w:val="00A97B97"/>
    <w:rsid w:val="00AA0815"/>
    <w:rsid w:val="00AA2CDE"/>
    <w:rsid w:val="00AA385D"/>
    <w:rsid w:val="00AA5FA7"/>
    <w:rsid w:val="00AA7B0F"/>
    <w:rsid w:val="00AB1060"/>
    <w:rsid w:val="00AB1DB7"/>
    <w:rsid w:val="00AB231A"/>
    <w:rsid w:val="00AB301C"/>
    <w:rsid w:val="00AC2A2A"/>
    <w:rsid w:val="00AC2CB0"/>
    <w:rsid w:val="00AC735A"/>
    <w:rsid w:val="00AD1311"/>
    <w:rsid w:val="00AD1725"/>
    <w:rsid w:val="00AD62C7"/>
    <w:rsid w:val="00AD730A"/>
    <w:rsid w:val="00AE0CCA"/>
    <w:rsid w:val="00AE224B"/>
    <w:rsid w:val="00AE50A6"/>
    <w:rsid w:val="00AF3605"/>
    <w:rsid w:val="00AF4272"/>
    <w:rsid w:val="00B0100C"/>
    <w:rsid w:val="00B05EDD"/>
    <w:rsid w:val="00B11C25"/>
    <w:rsid w:val="00B133C0"/>
    <w:rsid w:val="00B138AB"/>
    <w:rsid w:val="00B23025"/>
    <w:rsid w:val="00B2382F"/>
    <w:rsid w:val="00B24B3D"/>
    <w:rsid w:val="00B26104"/>
    <w:rsid w:val="00B271DB"/>
    <w:rsid w:val="00B31EC2"/>
    <w:rsid w:val="00B3383F"/>
    <w:rsid w:val="00B368E0"/>
    <w:rsid w:val="00B376DF"/>
    <w:rsid w:val="00B42E3B"/>
    <w:rsid w:val="00B43A77"/>
    <w:rsid w:val="00B43C3C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70A61"/>
    <w:rsid w:val="00B73186"/>
    <w:rsid w:val="00B7541D"/>
    <w:rsid w:val="00B75A22"/>
    <w:rsid w:val="00B80776"/>
    <w:rsid w:val="00B82E9E"/>
    <w:rsid w:val="00B8667A"/>
    <w:rsid w:val="00B91EF6"/>
    <w:rsid w:val="00B9755C"/>
    <w:rsid w:val="00BB3725"/>
    <w:rsid w:val="00BB4E5F"/>
    <w:rsid w:val="00BB7343"/>
    <w:rsid w:val="00BB796A"/>
    <w:rsid w:val="00BB7D0D"/>
    <w:rsid w:val="00BC20E9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46B"/>
    <w:rsid w:val="00C01A83"/>
    <w:rsid w:val="00C044E2"/>
    <w:rsid w:val="00C06774"/>
    <w:rsid w:val="00C0747E"/>
    <w:rsid w:val="00C100C4"/>
    <w:rsid w:val="00C1619D"/>
    <w:rsid w:val="00C16262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60E4"/>
    <w:rsid w:val="00C568F8"/>
    <w:rsid w:val="00C66677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6747"/>
    <w:rsid w:val="00CD6178"/>
    <w:rsid w:val="00CF1FCA"/>
    <w:rsid w:val="00CF23B0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3E1C"/>
    <w:rsid w:val="00D14F26"/>
    <w:rsid w:val="00D1500C"/>
    <w:rsid w:val="00D20D19"/>
    <w:rsid w:val="00D20DE7"/>
    <w:rsid w:val="00D23116"/>
    <w:rsid w:val="00D31234"/>
    <w:rsid w:val="00D31630"/>
    <w:rsid w:val="00D32219"/>
    <w:rsid w:val="00D3321E"/>
    <w:rsid w:val="00D34112"/>
    <w:rsid w:val="00D34142"/>
    <w:rsid w:val="00D35485"/>
    <w:rsid w:val="00D409AF"/>
    <w:rsid w:val="00D4154E"/>
    <w:rsid w:val="00D4255E"/>
    <w:rsid w:val="00D437E2"/>
    <w:rsid w:val="00D5272D"/>
    <w:rsid w:val="00D56CF1"/>
    <w:rsid w:val="00D576E4"/>
    <w:rsid w:val="00D606D0"/>
    <w:rsid w:val="00D60C3B"/>
    <w:rsid w:val="00D618BF"/>
    <w:rsid w:val="00D618F6"/>
    <w:rsid w:val="00D6330C"/>
    <w:rsid w:val="00D707D7"/>
    <w:rsid w:val="00D71EA5"/>
    <w:rsid w:val="00D7545C"/>
    <w:rsid w:val="00D76AF5"/>
    <w:rsid w:val="00D77563"/>
    <w:rsid w:val="00D83728"/>
    <w:rsid w:val="00D84D54"/>
    <w:rsid w:val="00D96DD6"/>
    <w:rsid w:val="00DA0A22"/>
    <w:rsid w:val="00DA7DD7"/>
    <w:rsid w:val="00DB151A"/>
    <w:rsid w:val="00DB1BC2"/>
    <w:rsid w:val="00DB2DDE"/>
    <w:rsid w:val="00DB6560"/>
    <w:rsid w:val="00DB6DA8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5DAB"/>
    <w:rsid w:val="00DF6CCE"/>
    <w:rsid w:val="00E00CE5"/>
    <w:rsid w:val="00E04816"/>
    <w:rsid w:val="00E104AF"/>
    <w:rsid w:val="00E148B7"/>
    <w:rsid w:val="00E2140F"/>
    <w:rsid w:val="00E22A31"/>
    <w:rsid w:val="00E259C2"/>
    <w:rsid w:val="00E26532"/>
    <w:rsid w:val="00E3432A"/>
    <w:rsid w:val="00E34CD8"/>
    <w:rsid w:val="00E40FA0"/>
    <w:rsid w:val="00E421A9"/>
    <w:rsid w:val="00E45F99"/>
    <w:rsid w:val="00E46734"/>
    <w:rsid w:val="00E47AE4"/>
    <w:rsid w:val="00E525F4"/>
    <w:rsid w:val="00E564A5"/>
    <w:rsid w:val="00E82DD3"/>
    <w:rsid w:val="00E8674B"/>
    <w:rsid w:val="00E8679F"/>
    <w:rsid w:val="00E868D5"/>
    <w:rsid w:val="00E942AD"/>
    <w:rsid w:val="00E97EDE"/>
    <w:rsid w:val="00EA07EB"/>
    <w:rsid w:val="00EA26CA"/>
    <w:rsid w:val="00EA3945"/>
    <w:rsid w:val="00EA46BA"/>
    <w:rsid w:val="00EA4791"/>
    <w:rsid w:val="00EA5053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B7DE1"/>
    <w:rsid w:val="00EC0AE1"/>
    <w:rsid w:val="00EC1035"/>
    <w:rsid w:val="00EC1167"/>
    <w:rsid w:val="00EC1C93"/>
    <w:rsid w:val="00EC2692"/>
    <w:rsid w:val="00EC7FDD"/>
    <w:rsid w:val="00ED3236"/>
    <w:rsid w:val="00ED66DB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42EDA"/>
    <w:rsid w:val="00F52A16"/>
    <w:rsid w:val="00F5370D"/>
    <w:rsid w:val="00F53987"/>
    <w:rsid w:val="00F62D82"/>
    <w:rsid w:val="00F72B32"/>
    <w:rsid w:val="00F75268"/>
    <w:rsid w:val="00F77D8E"/>
    <w:rsid w:val="00F805A3"/>
    <w:rsid w:val="00F81D0D"/>
    <w:rsid w:val="00F84CDB"/>
    <w:rsid w:val="00F86B44"/>
    <w:rsid w:val="00F910AB"/>
    <w:rsid w:val="00F97AB6"/>
    <w:rsid w:val="00F97C6E"/>
    <w:rsid w:val="00FA1270"/>
    <w:rsid w:val="00FA604C"/>
    <w:rsid w:val="00FA7D78"/>
    <w:rsid w:val="00FA7FF5"/>
    <w:rsid w:val="00FB3F41"/>
    <w:rsid w:val="00FB6A80"/>
    <w:rsid w:val="00FB7A4B"/>
    <w:rsid w:val="00FC2E79"/>
    <w:rsid w:val="00FC46B5"/>
    <w:rsid w:val="00FD12D4"/>
    <w:rsid w:val="00FD1C02"/>
    <w:rsid w:val="00FD2012"/>
    <w:rsid w:val="00FD38EA"/>
    <w:rsid w:val="00FE25F0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BBE0EB"/>
  <w15:chartTrackingRefBased/>
  <w15:docId w15:val="{413A4C50-81D4-45B0-8111-D68B139D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9A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4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3D67BE"/>
    <w:pPr>
      <w:numPr>
        <w:ilvl w:val="1"/>
        <w:numId w:val="4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3D67BE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04877"/>
    <w:pPr>
      <w:jc w:val="center"/>
    </w:pPr>
    <w:rPr>
      <w:rFonts w:ascii="Times" w:hAnsi="Times" w:cs="Arial"/>
      <w:b/>
      <w:color w:val="C00000"/>
      <w:sz w:val="40"/>
      <w:szCs w:val="40"/>
    </w:rPr>
  </w:style>
  <w:style w:type="character" w:customStyle="1" w:styleId="TitleChar">
    <w:name w:val="Title Char"/>
    <w:link w:val="Title"/>
    <w:uiPriority w:val="10"/>
    <w:rsid w:val="00804877"/>
    <w:rPr>
      <w:rFonts w:ascii="Times" w:eastAsia="Times New Roman" w:hAnsi="Times" w:cs="Arial"/>
      <w:b/>
      <w:color w:val="C00000"/>
      <w:sz w:val="40"/>
      <w:szCs w:val="40"/>
    </w:rPr>
  </w:style>
  <w:style w:type="character" w:styleId="PlaceholderText">
    <w:name w:val="Placeholder Text"/>
    <w:uiPriority w:val="99"/>
    <w:semiHidden/>
    <w:rsid w:val="00804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7124/Baking%20HOM%20Loads.rt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E84A2-89DE-49F3-B147-D808C0BD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ProcedureTemplate</Template>
  <TotalTime>17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3532</CharactersWithSpaces>
  <SharedDoc>false</SharedDoc>
  <HLinks>
    <vt:vector size="12" baseType="variant"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https://pansophy.jlab.org/pansophy/Help/help.cfm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Anderson Mitchell</dc:creator>
  <cp:keywords/>
  <cp:lastModifiedBy>Ashley Anderson Mitchell</cp:lastModifiedBy>
  <cp:revision>5</cp:revision>
  <cp:lastPrinted>2018-02-27T20:36:00Z</cp:lastPrinted>
  <dcterms:created xsi:type="dcterms:W3CDTF">2020-05-13T14:11:00Z</dcterms:created>
  <dcterms:modified xsi:type="dcterms:W3CDTF">2020-05-19T15:43:00Z</dcterms:modified>
</cp:coreProperties>
</file>