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845"/>
        <w:gridCol w:w="2223"/>
        <w:gridCol w:w="1557"/>
      </w:tblGrid>
      <w:tr w:rsidR="00B43C3C" w:rsidRPr="00AE09BA" w14:paraId="42DE5982" w14:textId="77777777" w:rsidTr="001844EE">
        <w:trPr>
          <w:jc w:val="center"/>
        </w:trPr>
        <w:tc>
          <w:tcPr>
            <w:tcW w:w="9990" w:type="dxa"/>
            <w:gridSpan w:val="4"/>
            <w:tcBorders>
              <w:top w:val="single" w:sz="18" w:space="0" w:color="000000"/>
              <w:left w:val="nil"/>
              <w:bottom w:val="single" w:sz="18" w:space="0" w:color="000000"/>
              <w:right w:val="nil"/>
            </w:tcBorders>
          </w:tcPr>
          <w:p w14:paraId="5D8B44E1" w14:textId="223F7EF1" w:rsidR="00B43C3C" w:rsidRPr="00AE09BA" w:rsidRDefault="007A45A0" w:rsidP="00904100">
            <w:pPr>
              <w:pStyle w:val="Title"/>
              <w:rPr>
                <w:rFonts w:ascii="Times New Roman" w:hAnsi="Times New Roman" w:cs="Times New Roman"/>
              </w:rPr>
            </w:pPr>
            <w:bookmarkStart w:id="0" w:name="Overview"/>
            <w:r w:rsidRPr="00AE09BA">
              <w:rPr>
                <w:rFonts w:ascii="Times New Roman" w:hAnsi="Times New Roman" w:cs="Times New Roman"/>
              </w:rPr>
              <w:t xml:space="preserve">Copper Plated </w:t>
            </w:r>
            <w:r w:rsidR="00246836">
              <w:rPr>
                <w:rFonts w:ascii="Times New Roman" w:hAnsi="Times New Roman" w:cs="Times New Roman"/>
              </w:rPr>
              <w:t xml:space="preserve">Components </w:t>
            </w:r>
            <w:r w:rsidRPr="00AE09BA">
              <w:rPr>
                <w:rFonts w:ascii="Times New Roman" w:hAnsi="Times New Roman" w:cs="Times New Roman"/>
              </w:rPr>
              <w:t>Cleaning Procedure</w:t>
            </w:r>
          </w:p>
        </w:tc>
      </w:tr>
      <w:tr w:rsidR="00B43C3C" w:rsidRPr="00AE09BA" w14:paraId="19149423" w14:textId="77777777" w:rsidTr="001844EE">
        <w:trPr>
          <w:jc w:val="center"/>
        </w:trPr>
        <w:tc>
          <w:tcPr>
            <w:tcW w:w="2365" w:type="dxa"/>
            <w:tcBorders>
              <w:top w:val="single" w:sz="18" w:space="0" w:color="000000"/>
              <w:left w:val="nil"/>
              <w:bottom w:val="nil"/>
              <w:right w:val="nil"/>
            </w:tcBorders>
            <w:vAlign w:val="center"/>
          </w:tcPr>
          <w:p w14:paraId="671CAE09" w14:textId="77777777" w:rsidR="00B43C3C" w:rsidRPr="00AE09BA" w:rsidRDefault="00B43C3C" w:rsidP="00992CE4">
            <w:pPr>
              <w:tabs>
                <w:tab w:val="left" w:pos="2250"/>
              </w:tabs>
              <w:rPr>
                <w:color w:val="auto"/>
                <w:sz w:val="20"/>
                <w:szCs w:val="20"/>
              </w:rPr>
            </w:pPr>
            <w:r w:rsidRPr="00AE09BA">
              <w:rPr>
                <w:b/>
                <w:color w:val="auto"/>
                <w:sz w:val="20"/>
                <w:szCs w:val="20"/>
              </w:rPr>
              <w:t>Document Number:</w:t>
            </w:r>
          </w:p>
        </w:tc>
        <w:tc>
          <w:tcPr>
            <w:tcW w:w="3845" w:type="dxa"/>
            <w:tcBorders>
              <w:top w:val="single" w:sz="18" w:space="0" w:color="000000"/>
              <w:left w:val="nil"/>
              <w:bottom w:val="nil"/>
              <w:right w:val="nil"/>
            </w:tcBorders>
            <w:vAlign w:val="center"/>
          </w:tcPr>
          <w:p w14:paraId="524D78FE" w14:textId="6DA88DB5" w:rsidR="00B43C3C" w:rsidRPr="00AE09BA" w:rsidRDefault="00710A5A" w:rsidP="00246836">
            <w:pPr>
              <w:rPr>
                <w:color w:val="auto"/>
                <w:sz w:val="20"/>
                <w:szCs w:val="20"/>
              </w:rPr>
            </w:pPr>
            <w:r w:rsidRPr="00AE09BA">
              <w:rPr>
                <w:color w:val="201F1E"/>
                <w:sz w:val="23"/>
                <w:szCs w:val="23"/>
                <w:shd w:val="clear" w:color="auto" w:fill="FFFFFF"/>
              </w:rPr>
              <w:t>CP-C75-</w:t>
            </w:r>
            <w:r w:rsidR="00246836">
              <w:rPr>
                <w:color w:val="201F1E"/>
                <w:sz w:val="23"/>
                <w:szCs w:val="23"/>
                <w:shd w:val="clear" w:color="auto" w:fill="FFFFFF"/>
              </w:rPr>
              <w:t>CM</w:t>
            </w:r>
            <w:r w:rsidRPr="00AE09BA">
              <w:rPr>
                <w:color w:val="201F1E"/>
                <w:sz w:val="23"/>
                <w:szCs w:val="23"/>
                <w:shd w:val="clear" w:color="auto" w:fill="FFFFFF"/>
              </w:rPr>
              <w:t>-CHEM-C</w:t>
            </w:r>
            <w:r w:rsidR="00904100" w:rsidRPr="00AE09BA">
              <w:rPr>
                <w:color w:val="201F1E"/>
                <w:sz w:val="23"/>
                <w:szCs w:val="23"/>
                <w:shd w:val="clear" w:color="auto" w:fill="FFFFFF"/>
              </w:rPr>
              <w:t>UPL</w:t>
            </w:r>
          </w:p>
        </w:tc>
        <w:tc>
          <w:tcPr>
            <w:tcW w:w="2223" w:type="dxa"/>
            <w:tcBorders>
              <w:top w:val="single" w:sz="18" w:space="0" w:color="000000"/>
              <w:left w:val="nil"/>
              <w:bottom w:val="nil"/>
              <w:right w:val="nil"/>
            </w:tcBorders>
            <w:vAlign w:val="center"/>
          </w:tcPr>
          <w:p w14:paraId="01278D6E" w14:textId="75B023CE" w:rsidR="00B43C3C" w:rsidRPr="00AE09BA" w:rsidRDefault="00B43C3C" w:rsidP="001844EE">
            <w:pPr>
              <w:tabs>
                <w:tab w:val="left" w:pos="2250"/>
              </w:tabs>
              <w:jc w:val="right"/>
              <w:rPr>
                <w:color w:val="auto"/>
                <w:sz w:val="20"/>
                <w:szCs w:val="20"/>
              </w:rPr>
            </w:pPr>
            <w:r w:rsidRPr="00AE09BA">
              <w:rPr>
                <w:b/>
                <w:color w:val="auto"/>
                <w:sz w:val="20"/>
                <w:szCs w:val="20"/>
              </w:rPr>
              <w:t>Approval Date:</w:t>
            </w:r>
            <w:r w:rsidR="000F0DB3" w:rsidRPr="00AE09BA">
              <w:rPr>
                <w:b/>
                <w:color w:val="auto"/>
                <w:sz w:val="20"/>
                <w:szCs w:val="20"/>
              </w:rPr>
              <w:t xml:space="preserve">  </w:t>
            </w:r>
          </w:p>
        </w:tc>
        <w:tc>
          <w:tcPr>
            <w:tcW w:w="1557" w:type="dxa"/>
            <w:tcBorders>
              <w:top w:val="single" w:sz="18" w:space="0" w:color="000000"/>
              <w:left w:val="nil"/>
              <w:bottom w:val="nil"/>
              <w:right w:val="nil"/>
            </w:tcBorders>
            <w:vAlign w:val="center"/>
          </w:tcPr>
          <w:p w14:paraId="656970AD" w14:textId="015A94B2" w:rsidR="00B43C3C" w:rsidRPr="00AE09BA" w:rsidRDefault="001844EE" w:rsidP="00950E87">
            <w:pPr>
              <w:rPr>
                <w:color w:val="auto"/>
                <w:sz w:val="20"/>
                <w:szCs w:val="20"/>
              </w:rPr>
            </w:pPr>
            <w:r w:rsidRPr="00AE09BA">
              <w:rPr>
                <w:b/>
                <w:color w:val="auto"/>
                <w:sz w:val="20"/>
                <w:szCs w:val="20"/>
              </w:rPr>
              <w:t>06-May-2020</w:t>
            </w:r>
          </w:p>
        </w:tc>
      </w:tr>
      <w:tr w:rsidR="00B43C3C" w:rsidRPr="00AE09BA" w14:paraId="133A4360" w14:textId="77777777" w:rsidTr="001844EE">
        <w:trPr>
          <w:trHeight w:val="416"/>
          <w:jc w:val="center"/>
        </w:trPr>
        <w:tc>
          <w:tcPr>
            <w:tcW w:w="2365" w:type="dxa"/>
            <w:tcBorders>
              <w:top w:val="nil"/>
              <w:left w:val="nil"/>
              <w:bottom w:val="nil"/>
              <w:right w:val="nil"/>
            </w:tcBorders>
            <w:vAlign w:val="center"/>
          </w:tcPr>
          <w:p w14:paraId="4583C840" w14:textId="77777777" w:rsidR="00B43C3C" w:rsidRPr="00AE09BA" w:rsidRDefault="00B43C3C" w:rsidP="00992CE4">
            <w:pPr>
              <w:tabs>
                <w:tab w:val="left" w:pos="2250"/>
              </w:tabs>
              <w:rPr>
                <w:color w:val="auto"/>
                <w:sz w:val="20"/>
                <w:szCs w:val="20"/>
              </w:rPr>
            </w:pPr>
            <w:r w:rsidRPr="00AE09BA">
              <w:rPr>
                <w:b/>
                <w:color w:val="auto"/>
                <w:sz w:val="20"/>
                <w:szCs w:val="20"/>
              </w:rPr>
              <w:t>Revision Number:</w:t>
            </w:r>
          </w:p>
        </w:tc>
        <w:tc>
          <w:tcPr>
            <w:tcW w:w="3845" w:type="dxa"/>
            <w:tcBorders>
              <w:top w:val="nil"/>
              <w:left w:val="nil"/>
              <w:bottom w:val="nil"/>
              <w:right w:val="nil"/>
            </w:tcBorders>
            <w:vAlign w:val="center"/>
          </w:tcPr>
          <w:p w14:paraId="6BA6084E" w14:textId="593FDE97" w:rsidR="00B43C3C" w:rsidRPr="00AE09BA" w:rsidRDefault="00246836" w:rsidP="00D606D0">
            <w:pPr>
              <w:rPr>
                <w:b/>
                <w:color w:val="auto"/>
                <w:sz w:val="20"/>
                <w:szCs w:val="20"/>
              </w:rPr>
            </w:pPr>
            <w:r>
              <w:rPr>
                <w:color w:val="auto"/>
                <w:sz w:val="20"/>
                <w:szCs w:val="20"/>
              </w:rPr>
              <w:t xml:space="preserve">Initial Release </w:t>
            </w:r>
          </w:p>
        </w:tc>
        <w:tc>
          <w:tcPr>
            <w:tcW w:w="2223" w:type="dxa"/>
            <w:tcBorders>
              <w:top w:val="nil"/>
              <w:left w:val="nil"/>
              <w:bottom w:val="nil"/>
              <w:right w:val="nil"/>
            </w:tcBorders>
            <w:vAlign w:val="center"/>
          </w:tcPr>
          <w:p w14:paraId="5B9975FF" w14:textId="77777777" w:rsidR="00B43C3C" w:rsidRPr="00AE09BA" w:rsidRDefault="00B43C3C" w:rsidP="00992CE4">
            <w:pPr>
              <w:tabs>
                <w:tab w:val="left" w:pos="2250"/>
              </w:tabs>
              <w:jc w:val="right"/>
              <w:rPr>
                <w:color w:val="auto"/>
                <w:sz w:val="20"/>
                <w:szCs w:val="20"/>
              </w:rPr>
            </w:pPr>
            <w:r w:rsidRPr="00AE09BA">
              <w:rPr>
                <w:b/>
                <w:color w:val="auto"/>
                <w:sz w:val="20"/>
                <w:szCs w:val="20"/>
              </w:rPr>
              <w:t>Periodic Review Date:</w:t>
            </w:r>
          </w:p>
        </w:tc>
        <w:tc>
          <w:tcPr>
            <w:tcW w:w="1557" w:type="dxa"/>
            <w:tcBorders>
              <w:top w:val="nil"/>
              <w:left w:val="nil"/>
              <w:bottom w:val="nil"/>
              <w:right w:val="nil"/>
            </w:tcBorders>
            <w:vAlign w:val="center"/>
          </w:tcPr>
          <w:p w14:paraId="29509393" w14:textId="0C18A9F3" w:rsidR="000F0DB3" w:rsidRPr="00AE09BA" w:rsidRDefault="001844EE" w:rsidP="001844EE">
            <w:pPr>
              <w:rPr>
                <w:b/>
                <w:bCs/>
                <w:color w:val="auto"/>
                <w:sz w:val="20"/>
                <w:szCs w:val="20"/>
              </w:rPr>
            </w:pPr>
            <w:r w:rsidRPr="00AE09BA">
              <w:rPr>
                <w:b/>
                <w:color w:val="auto"/>
                <w:sz w:val="20"/>
                <w:szCs w:val="20"/>
              </w:rPr>
              <w:t>06-May-202</w:t>
            </w:r>
            <w:r w:rsidRPr="00AE09BA">
              <w:rPr>
                <w:b/>
                <w:color w:val="auto"/>
                <w:sz w:val="20"/>
                <w:szCs w:val="20"/>
              </w:rPr>
              <w:t>2</w:t>
            </w:r>
          </w:p>
        </w:tc>
      </w:tr>
      <w:tr w:rsidR="00B43C3C" w:rsidRPr="00AE09BA" w14:paraId="6D8B617B" w14:textId="77777777" w:rsidTr="001844EE">
        <w:trPr>
          <w:jc w:val="center"/>
        </w:trPr>
        <w:tc>
          <w:tcPr>
            <w:tcW w:w="2365" w:type="dxa"/>
            <w:tcBorders>
              <w:top w:val="nil"/>
              <w:left w:val="nil"/>
              <w:bottom w:val="single" w:sz="12" w:space="0" w:color="auto"/>
              <w:right w:val="nil"/>
            </w:tcBorders>
            <w:vAlign w:val="center"/>
          </w:tcPr>
          <w:p w14:paraId="3D376C9A" w14:textId="77777777" w:rsidR="00B43C3C" w:rsidRPr="00AE09BA" w:rsidRDefault="00B43C3C" w:rsidP="00992CE4">
            <w:pPr>
              <w:tabs>
                <w:tab w:val="left" w:pos="2250"/>
              </w:tabs>
              <w:rPr>
                <w:color w:val="auto"/>
                <w:sz w:val="20"/>
                <w:szCs w:val="20"/>
              </w:rPr>
            </w:pPr>
            <w:r w:rsidRPr="00AE09BA">
              <w:rPr>
                <w:b/>
                <w:color w:val="auto"/>
                <w:sz w:val="20"/>
                <w:szCs w:val="20"/>
              </w:rPr>
              <w:t>Document Owner:</w:t>
            </w:r>
          </w:p>
        </w:tc>
        <w:tc>
          <w:tcPr>
            <w:tcW w:w="3845" w:type="dxa"/>
            <w:tcBorders>
              <w:top w:val="nil"/>
              <w:left w:val="nil"/>
              <w:bottom w:val="single" w:sz="12" w:space="0" w:color="auto"/>
              <w:right w:val="nil"/>
            </w:tcBorders>
            <w:vAlign w:val="center"/>
          </w:tcPr>
          <w:p w14:paraId="124E28AA" w14:textId="2E79DDD2" w:rsidR="00B43C3C" w:rsidRPr="00AE09BA" w:rsidRDefault="00943612" w:rsidP="005A7C7A">
            <w:pPr>
              <w:rPr>
                <w:color w:val="auto"/>
                <w:sz w:val="20"/>
                <w:szCs w:val="20"/>
              </w:rPr>
            </w:pPr>
            <w:r w:rsidRPr="00AE09BA">
              <w:rPr>
                <w:sz w:val="20"/>
                <w:szCs w:val="20"/>
              </w:rPr>
              <w:t>Alex Wildeson</w:t>
            </w:r>
          </w:p>
        </w:tc>
        <w:tc>
          <w:tcPr>
            <w:tcW w:w="2223" w:type="dxa"/>
            <w:tcBorders>
              <w:top w:val="nil"/>
              <w:left w:val="nil"/>
              <w:bottom w:val="single" w:sz="12" w:space="0" w:color="auto"/>
              <w:right w:val="nil"/>
            </w:tcBorders>
            <w:vAlign w:val="center"/>
          </w:tcPr>
          <w:p w14:paraId="5B7AB7A1" w14:textId="77777777" w:rsidR="00B43C3C" w:rsidRPr="00AE09BA" w:rsidRDefault="00B43C3C" w:rsidP="00992CE4">
            <w:pPr>
              <w:tabs>
                <w:tab w:val="left" w:pos="2250"/>
              </w:tabs>
              <w:rPr>
                <w:color w:val="auto"/>
                <w:sz w:val="20"/>
                <w:szCs w:val="20"/>
              </w:rPr>
            </w:pPr>
          </w:p>
        </w:tc>
        <w:tc>
          <w:tcPr>
            <w:tcW w:w="1557" w:type="dxa"/>
            <w:tcBorders>
              <w:top w:val="nil"/>
              <w:left w:val="nil"/>
              <w:bottom w:val="single" w:sz="12" w:space="0" w:color="auto"/>
              <w:right w:val="nil"/>
            </w:tcBorders>
            <w:vAlign w:val="center"/>
          </w:tcPr>
          <w:p w14:paraId="0DE38C55" w14:textId="77777777" w:rsidR="00B43C3C" w:rsidRPr="00AE09BA" w:rsidRDefault="00B43C3C" w:rsidP="00992CE4">
            <w:pPr>
              <w:rPr>
                <w:color w:val="auto"/>
                <w:sz w:val="20"/>
                <w:szCs w:val="20"/>
              </w:rPr>
            </w:pPr>
          </w:p>
        </w:tc>
      </w:tr>
    </w:tbl>
    <w:p w14:paraId="1727AC43" w14:textId="77777777" w:rsidR="005A7C7A" w:rsidRPr="00AE09BA"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6808547D" w14:textId="77777777" w:rsidR="005A7C7A" w:rsidRPr="00AE09BA" w:rsidRDefault="005A7C7A" w:rsidP="005A7C7A"/>
    <w:p w14:paraId="229E2A8F" w14:textId="77777777" w:rsidR="005A7C7A" w:rsidRPr="00AE09BA" w:rsidRDefault="005A7C7A" w:rsidP="005A7C7A">
      <w:pPr>
        <w:pStyle w:val="Heading1"/>
        <w:rPr>
          <w:rFonts w:ascii="Times New Roman" w:hAnsi="Times New Roman" w:cs="Times New Roman"/>
          <w:szCs w:val="32"/>
        </w:rPr>
      </w:pPr>
      <w:r w:rsidRPr="00AE09BA">
        <w:rPr>
          <w:rFonts w:ascii="Times New Roman" w:hAnsi="Times New Roman" w:cs="Times New Roman"/>
          <w:szCs w:val="32"/>
        </w:rPr>
        <w:t xml:space="preserve">Purpose </w:t>
      </w:r>
      <w:r w:rsidR="00DB6DA8" w:rsidRPr="00AE09BA">
        <w:rPr>
          <w:rFonts w:ascii="Times New Roman" w:hAnsi="Times New Roman" w:cs="Times New Roman"/>
          <w:szCs w:val="32"/>
        </w:rPr>
        <w:t xml:space="preserve">and Scope </w:t>
      </w:r>
    </w:p>
    <w:p w14:paraId="28D3800D" w14:textId="77777777" w:rsidR="005A7C7A" w:rsidRPr="00AE09BA" w:rsidRDefault="005A7C7A" w:rsidP="005A7C7A"/>
    <w:p w14:paraId="54E42CDE" w14:textId="639EE059" w:rsidR="00DB6DA8" w:rsidRPr="00AE09BA" w:rsidRDefault="00904100" w:rsidP="00246836">
      <w:pPr>
        <w:ind w:left="270" w:hanging="270"/>
      </w:pPr>
      <w:r w:rsidRPr="00AE09BA">
        <w:t xml:space="preserve">PURPOSE: </w:t>
      </w:r>
      <w:r w:rsidR="007A45A0" w:rsidRPr="00AE09BA">
        <w:t>The purpose of this procedure is to ensure that proper cleaning and drying of this component i</w:t>
      </w:r>
      <w:r w:rsidR="00345774" w:rsidRPr="00AE09BA">
        <w:t>s</w:t>
      </w:r>
      <w:r w:rsidR="007A45A0" w:rsidRPr="00AE09BA">
        <w:t xml:space="preserve"> done in a repeatable and safe manner. </w:t>
      </w:r>
    </w:p>
    <w:p w14:paraId="161EB827" w14:textId="77777777" w:rsidR="00904100" w:rsidRPr="00AE09BA" w:rsidRDefault="00904100" w:rsidP="00246836">
      <w:pPr>
        <w:ind w:left="270" w:hanging="270"/>
      </w:pPr>
    </w:p>
    <w:p w14:paraId="45E7FA52" w14:textId="42E474A8" w:rsidR="00904100" w:rsidRPr="00AE09BA" w:rsidRDefault="00904100" w:rsidP="00246836">
      <w:pPr>
        <w:ind w:left="270" w:hanging="270"/>
        <w:rPr>
          <w:rFonts w:eastAsia="Calibri"/>
        </w:rPr>
      </w:pPr>
      <w:r w:rsidRPr="00AE09BA">
        <w:t>SCOPE: This procedure will cover cleaning Copper Plated Waveguide Extensions and Adapters and other like components. These ite</w:t>
      </w:r>
      <w:bookmarkStart w:id="2" w:name="_GoBack"/>
      <w:bookmarkEnd w:id="2"/>
      <w:r w:rsidRPr="00AE09BA">
        <w:t xml:space="preserve">ms have a fragile copper plating that is easily damaged.   </w:t>
      </w:r>
    </w:p>
    <w:p w14:paraId="509A18B0" w14:textId="77777777" w:rsidR="0036091D" w:rsidRPr="00AE09BA" w:rsidRDefault="0036091D" w:rsidP="00DB6DA8">
      <w:pPr>
        <w:ind w:left="450"/>
      </w:pPr>
    </w:p>
    <w:p w14:paraId="42B20230" w14:textId="77777777" w:rsidR="005A7C7A" w:rsidRPr="00AE09BA" w:rsidRDefault="005A7C7A" w:rsidP="005A7C7A"/>
    <w:p w14:paraId="420AB4A5" w14:textId="77777777" w:rsidR="005A7C7A" w:rsidRPr="00AE09BA" w:rsidRDefault="005A7C7A" w:rsidP="005A7C7A">
      <w:pPr>
        <w:pStyle w:val="Heading1"/>
        <w:rPr>
          <w:rFonts w:ascii="Times New Roman" w:hAnsi="Times New Roman" w:cs="Times New Roman"/>
          <w:szCs w:val="32"/>
        </w:rPr>
      </w:pPr>
      <w:r w:rsidRPr="00AE09BA">
        <w:rPr>
          <w:rFonts w:ascii="Times New Roman" w:hAnsi="Times New Roman" w:cs="Times New Roman"/>
          <w:szCs w:val="32"/>
        </w:rPr>
        <w:t xml:space="preserve">References  </w:t>
      </w:r>
    </w:p>
    <w:p w14:paraId="180168DD" w14:textId="77777777" w:rsidR="00345774" w:rsidRPr="00AE09BA" w:rsidRDefault="00345774" w:rsidP="005A7C7A">
      <w:pPr>
        <w:autoSpaceDE w:val="0"/>
        <w:autoSpaceDN w:val="0"/>
        <w:adjustRightInd w:val="0"/>
        <w:ind w:left="450"/>
        <w:rPr>
          <w:bCs/>
        </w:rPr>
      </w:pPr>
    </w:p>
    <w:p w14:paraId="1BDA00FA" w14:textId="67B5DD3D" w:rsidR="005A7C7A" w:rsidRPr="00AE09BA" w:rsidRDefault="009F0BB5" w:rsidP="005A7C7A">
      <w:pPr>
        <w:rPr>
          <w:szCs w:val="32"/>
        </w:rPr>
      </w:pPr>
      <w:hyperlink r:id="rId8" w:history="1">
        <w:r w:rsidR="001844EE" w:rsidRPr="00AE09BA">
          <w:rPr>
            <w:rStyle w:val="Hyperlink"/>
            <w:szCs w:val="32"/>
          </w:rPr>
          <w:t xml:space="preserve">C50 </w:t>
        </w:r>
        <w:r w:rsidR="00345774" w:rsidRPr="00AE09BA">
          <w:rPr>
            <w:rStyle w:val="Hyperlink"/>
            <w:szCs w:val="32"/>
          </w:rPr>
          <w:t>Copper Plated Waveguide Extension Cleaning Procedure</w:t>
        </w:r>
      </w:hyperlink>
    </w:p>
    <w:p w14:paraId="46F559A8" w14:textId="0361803E" w:rsidR="00BF729A" w:rsidRPr="00AE09BA" w:rsidRDefault="00BF729A" w:rsidP="005A7C7A">
      <w:pPr>
        <w:rPr>
          <w:rStyle w:val="Hyperlink"/>
          <w:bCs/>
        </w:rPr>
      </w:pPr>
      <w:hyperlink r:id="rId9" w:history="1">
        <w:r w:rsidRPr="00AE09BA">
          <w:rPr>
            <w:rStyle w:val="Hyperlink"/>
            <w:bCs/>
          </w:rPr>
          <w:t>Chemistry Cleaning Procedures</w:t>
        </w:r>
      </w:hyperlink>
    </w:p>
    <w:p w14:paraId="4E817515" w14:textId="12A1F7CB" w:rsidR="00BF729A" w:rsidRPr="00AE09BA" w:rsidRDefault="00BF729A" w:rsidP="005A7C7A">
      <w:pPr>
        <w:rPr>
          <w:rStyle w:val="Hyperlink"/>
          <w:szCs w:val="32"/>
        </w:rPr>
      </w:pPr>
      <w:hyperlink r:id="rId10" w:history="1">
        <w:r w:rsidRPr="00AE09BA">
          <w:rPr>
            <w:rStyle w:val="Hyperlink"/>
          </w:rPr>
          <w:t>SRF-19-83800-OSP</w:t>
        </w:r>
      </w:hyperlink>
      <w:r w:rsidRPr="00AE09BA">
        <w:t xml:space="preserve"> - OSP for Safe Operations in the Production Chemistry Room</w:t>
      </w:r>
    </w:p>
    <w:p w14:paraId="52F72E54" w14:textId="77777777" w:rsidR="00BA7B3C" w:rsidRPr="00AE09BA" w:rsidRDefault="00BA7B3C" w:rsidP="005A7C7A">
      <w:pPr>
        <w:rPr>
          <w:sz w:val="32"/>
          <w:szCs w:val="32"/>
        </w:rPr>
      </w:pPr>
    </w:p>
    <w:p w14:paraId="15642AC0" w14:textId="77777777" w:rsidR="005A7C7A" w:rsidRPr="00AE09BA" w:rsidRDefault="005A7C7A" w:rsidP="005A7C7A">
      <w:pPr>
        <w:pStyle w:val="Heading1"/>
        <w:rPr>
          <w:rFonts w:ascii="Times New Roman" w:hAnsi="Times New Roman" w:cs="Times New Roman"/>
          <w:szCs w:val="32"/>
        </w:rPr>
      </w:pPr>
      <w:r w:rsidRPr="00AE09BA">
        <w:rPr>
          <w:rFonts w:ascii="Times New Roman" w:hAnsi="Times New Roman" w:cs="Times New Roman"/>
          <w:szCs w:val="32"/>
        </w:rPr>
        <w:t xml:space="preserve">Terms and Definitions   </w:t>
      </w:r>
    </w:p>
    <w:p w14:paraId="3EC8B681" w14:textId="77777777" w:rsidR="005A7C7A" w:rsidRPr="00AE09BA" w:rsidRDefault="005A7C7A" w:rsidP="005A7C7A">
      <w:pPr>
        <w:rPr>
          <w:b/>
        </w:rPr>
      </w:pPr>
    </w:p>
    <w:p w14:paraId="2283E313" w14:textId="77777777" w:rsidR="00AA6F07" w:rsidRPr="00AE09BA" w:rsidRDefault="00AA6F07" w:rsidP="00AA6F07">
      <w:pPr>
        <w:pStyle w:val="ListParagraph"/>
        <w:numPr>
          <w:ilvl w:val="0"/>
          <w:numId w:val="26"/>
        </w:numPr>
      </w:pPr>
      <w:r w:rsidRPr="00AE09BA">
        <w:rPr>
          <w:b/>
        </w:rPr>
        <w:t>Component</w:t>
      </w:r>
      <w:r w:rsidRPr="00AE09BA">
        <w:t xml:space="preserve">: For the simplicity of this procedure, the terms cavities, components, and/or parts are considered interchangeable and will be generally referred to as “component”.  Components generally are used to seal a cavity and potentially see beam.  They are to be kept as clean as possible and should never be put in the same water as hardware. </w:t>
      </w:r>
    </w:p>
    <w:p w14:paraId="38AB1177" w14:textId="77777777" w:rsidR="00AA6F07" w:rsidRPr="00AE09BA" w:rsidRDefault="00AA6F07" w:rsidP="00AA6F07">
      <w:pPr>
        <w:pStyle w:val="ListParagraph"/>
        <w:numPr>
          <w:ilvl w:val="1"/>
          <w:numId w:val="26"/>
        </w:numPr>
      </w:pPr>
      <w:r w:rsidRPr="00AE09BA">
        <w:t xml:space="preserve">If a component is a mix of metals or an unusual size or shape, the PI/PM and/or a supervisor should be consulted on the appropriate method to use. </w:t>
      </w:r>
    </w:p>
    <w:p w14:paraId="4D25FA9D" w14:textId="77777777" w:rsidR="00AA6F07" w:rsidRPr="00AE09BA" w:rsidRDefault="00AA6F07" w:rsidP="00AA6F07">
      <w:pPr>
        <w:pStyle w:val="ListParagraph"/>
        <w:numPr>
          <w:ilvl w:val="0"/>
          <w:numId w:val="26"/>
        </w:numPr>
      </w:pPr>
      <w:r w:rsidRPr="00AE09BA">
        <w:rPr>
          <w:b/>
        </w:rPr>
        <w:t>DI/UPW</w:t>
      </w:r>
      <w:r w:rsidRPr="00AE09BA">
        <w:t>: Deionized (DI) and Ultra-Pure Water (UPW) are used interchangeably in this procedure and may also be referred to as simply water.</w:t>
      </w:r>
    </w:p>
    <w:p w14:paraId="450C4143" w14:textId="77777777" w:rsidR="00AA6F07" w:rsidRPr="00AE09BA" w:rsidRDefault="00AA6F07" w:rsidP="00AA6F07">
      <w:pPr>
        <w:pStyle w:val="ListParagraph"/>
        <w:numPr>
          <w:ilvl w:val="0"/>
          <w:numId w:val="26"/>
        </w:numPr>
      </w:pPr>
      <w:r w:rsidRPr="00AE09BA">
        <w:rPr>
          <w:b/>
        </w:rPr>
        <w:t>Ultrasonic, USC, and sonic:</w:t>
      </w:r>
      <w:r w:rsidRPr="00AE09BA">
        <w:t xml:space="preserve"> are used interchangeably in this procedure.  The container or tank may also be referred to as a bath. </w:t>
      </w:r>
    </w:p>
    <w:p w14:paraId="02307438" w14:textId="77777777" w:rsidR="00AA6F07" w:rsidRPr="00AE09BA" w:rsidRDefault="00AA6F07" w:rsidP="00AA6F07">
      <w:pPr>
        <w:pStyle w:val="ListParagraph"/>
        <w:numPr>
          <w:ilvl w:val="0"/>
          <w:numId w:val="26"/>
        </w:numPr>
      </w:pPr>
      <w:r w:rsidRPr="00AE09BA">
        <w:rPr>
          <w:b/>
        </w:rPr>
        <w:t xml:space="preserve">N2 / Nitrogen: </w:t>
      </w:r>
      <w:r w:rsidRPr="00AE09BA">
        <w:t>filtered nitrogen is most commonly used.</w:t>
      </w:r>
    </w:p>
    <w:p w14:paraId="1F0560E9" w14:textId="5BBA0532" w:rsidR="00AA6F07" w:rsidRPr="00AE09BA" w:rsidRDefault="00AA6F07" w:rsidP="00AA6F07">
      <w:pPr>
        <w:pStyle w:val="ListParagraph"/>
        <w:numPr>
          <w:ilvl w:val="0"/>
          <w:numId w:val="26"/>
        </w:numPr>
      </w:pPr>
      <w:r w:rsidRPr="00AE09BA">
        <w:rPr>
          <w:b/>
        </w:rPr>
        <w:t>PI/PM/SOTR:</w:t>
      </w:r>
      <w:r w:rsidRPr="00AE09BA">
        <w:t xml:space="preserve">  Principal Investigator, Project Manager, Subcontracting Officer Technical Representative.  Someone otherwise in charge of the project or item in question.  A supervisor may also be utilized if needed. </w:t>
      </w:r>
    </w:p>
    <w:tbl>
      <w:tblPr>
        <w:tblStyle w:val="TableGrid"/>
        <w:tblW w:w="0" w:type="auto"/>
        <w:jc w:val="center"/>
        <w:tblLook w:val="04A0" w:firstRow="1" w:lastRow="0" w:firstColumn="1" w:lastColumn="0" w:noHBand="0" w:noVBand="1"/>
      </w:tblPr>
      <w:tblGrid>
        <w:gridCol w:w="1403"/>
        <w:gridCol w:w="4609"/>
        <w:gridCol w:w="2556"/>
      </w:tblGrid>
      <w:tr w:rsidR="00AA6F07" w:rsidRPr="00AE09BA" w14:paraId="64F9450C" w14:textId="77777777" w:rsidTr="00605307">
        <w:trPr>
          <w:jc w:val="center"/>
        </w:trPr>
        <w:tc>
          <w:tcPr>
            <w:tcW w:w="0" w:type="auto"/>
            <w:gridSpan w:val="3"/>
          </w:tcPr>
          <w:p w14:paraId="1E7E0E5A" w14:textId="77777777" w:rsidR="00AA6F07" w:rsidRPr="00AE09BA" w:rsidRDefault="00AA6F07" w:rsidP="00605307">
            <w:pPr>
              <w:pStyle w:val="ListParagraph"/>
              <w:numPr>
                <w:ilvl w:val="0"/>
                <w:numId w:val="26"/>
              </w:numPr>
              <w:jc w:val="both"/>
              <w:rPr>
                <w:b/>
              </w:rPr>
            </w:pPr>
            <w:r w:rsidRPr="00AE09BA">
              <w:rPr>
                <w:b/>
              </w:rPr>
              <w:t>Items used in this procedure:</w:t>
            </w:r>
            <w:r w:rsidRPr="00AE09BA">
              <w:t xml:space="preserve"> </w:t>
            </w:r>
          </w:p>
        </w:tc>
      </w:tr>
      <w:tr w:rsidR="00AA6F07" w:rsidRPr="00AE09BA" w14:paraId="7325AE15" w14:textId="77777777" w:rsidTr="00605307">
        <w:trPr>
          <w:jc w:val="center"/>
        </w:trPr>
        <w:tc>
          <w:tcPr>
            <w:tcW w:w="0" w:type="auto"/>
          </w:tcPr>
          <w:p w14:paraId="49DAB999" w14:textId="77777777" w:rsidR="00AA6F07" w:rsidRPr="00AE09BA" w:rsidRDefault="00AA6F07" w:rsidP="00B00F8E">
            <w:pPr>
              <w:rPr>
                <w:b/>
              </w:rPr>
            </w:pPr>
            <w:r w:rsidRPr="00AE09BA">
              <w:rPr>
                <w:b/>
              </w:rPr>
              <w:t>Detergents:</w:t>
            </w:r>
          </w:p>
        </w:tc>
        <w:tc>
          <w:tcPr>
            <w:tcW w:w="0" w:type="auto"/>
          </w:tcPr>
          <w:p w14:paraId="670EED0F" w14:textId="77777777" w:rsidR="00AA6F07" w:rsidRPr="00AE09BA" w:rsidRDefault="00AA6F07" w:rsidP="00B00F8E">
            <w:pPr>
              <w:rPr>
                <w:b/>
              </w:rPr>
            </w:pPr>
            <w:r w:rsidRPr="00AE09BA">
              <w:rPr>
                <w:b/>
              </w:rPr>
              <w:t>Solvents:</w:t>
            </w:r>
          </w:p>
        </w:tc>
        <w:tc>
          <w:tcPr>
            <w:tcW w:w="0" w:type="auto"/>
          </w:tcPr>
          <w:p w14:paraId="42A9476B" w14:textId="77777777" w:rsidR="00AA6F07" w:rsidRPr="00AE09BA" w:rsidRDefault="00AA6F07" w:rsidP="00B00F8E">
            <w:pPr>
              <w:rPr>
                <w:b/>
              </w:rPr>
            </w:pPr>
            <w:r w:rsidRPr="00AE09BA">
              <w:rPr>
                <w:b/>
              </w:rPr>
              <w:t xml:space="preserve">Wipers: </w:t>
            </w:r>
          </w:p>
        </w:tc>
      </w:tr>
      <w:tr w:rsidR="00AA6F07" w:rsidRPr="00AE09BA" w14:paraId="7C25F904" w14:textId="77777777" w:rsidTr="00605307">
        <w:trPr>
          <w:jc w:val="center"/>
        </w:trPr>
        <w:tc>
          <w:tcPr>
            <w:tcW w:w="0" w:type="auto"/>
          </w:tcPr>
          <w:p w14:paraId="07945025" w14:textId="7ED32A99" w:rsidR="00AA6F07" w:rsidRPr="00AE09BA" w:rsidRDefault="00AA6F07" w:rsidP="00AA6F07">
            <w:r w:rsidRPr="00AE09BA">
              <w:t>Citranox</w:t>
            </w:r>
          </w:p>
        </w:tc>
        <w:tc>
          <w:tcPr>
            <w:tcW w:w="0" w:type="auto"/>
          </w:tcPr>
          <w:p w14:paraId="75654C4D" w14:textId="77777777" w:rsidR="00605307" w:rsidRDefault="00AA6F07" w:rsidP="00AA6F07">
            <w:r w:rsidRPr="00AE09BA">
              <w:t>Clean Room Quality Isopropyl (Isopropanol)</w:t>
            </w:r>
            <w:r w:rsidR="00605307">
              <w:t>,</w:t>
            </w:r>
            <w:r w:rsidR="00605307" w:rsidRPr="00AE09BA">
              <w:t xml:space="preserve"> </w:t>
            </w:r>
          </w:p>
          <w:p w14:paraId="5FD3604D" w14:textId="719828E2" w:rsidR="00AA6F07" w:rsidRPr="00AE09BA" w:rsidRDefault="00605307" w:rsidP="00AA6F07">
            <w:r w:rsidRPr="00AE09BA">
              <w:t>Acetone</w:t>
            </w:r>
          </w:p>
        </w:tc>
        <w:tc>
          <w:tcPr>
            <w:tcW w:w="0" w:type="auto"/>
          </w:tcPr>
          <w:p w14:paraId="00E55EF0" w14:textId="77777777" w:rsidR="00605307" w:rsidRDefault="00AA6F07" w:rsidP="00B00F8E">
            <w:r w:rsidRPr="00AE09BA">
              <w:t xml:space="preserve">TX1009B Alpha Wipes, </w:t>
            </w:r>
          </w:p>
          <w:p w14:paraId="4B22410A" w14:textId="3A2D8F75" w:rsidR="00AA6F07" w:rsidRPr="00AE09BA" w:rsidRDefault="00AA6F07" w:rsidP="00B00F8E">
            <w:r w:rsidRPr="00AE09BA">
              <w:t>TX2009 Beta Wipes</w:t>
            </w:r>
          </w:p>
        </w:tc>
      </w:tr>
    </w:tbl>
    <w:p w14:paraId="0A66300D" w14:textId="77777777" w:rsidR="00AA6F07" w:rsidRPr="00AE09BA" w:rsidRDefault="00AA6F07" w:rsidP="00AA6F07"/>
    <w:p w14:paraId="78347ECD" w14:textId="77777777" w:rsidR="005A7C7A" w:rsidRPr="00AE09BA" w:rsidRDefault="005A7C7A" w:rsidP="005A7C7A"/>
    <w:p w14:paraId="10F1819A" w14:textId="77777777" w:rsidR="005A7C7A" w:rsidRPr="00AE09BA" w:rsidRDefault="005A7C7A" w:rsidP="005A7C7A">
      <w:pPr>
        <w:pStyle w:val="Heading1"/>
        <w:rPr>
          <w:rFonts w:ascii="Times New Roman" w:hAnsi="Times New Roman" w:cs="Times New Roman"/>
        </w:rPr>
      </w:pPr>
      <w:r w:rsidRPr="00AE09BA">
        <w:rPr>
          <w:rFonts w:ascii="Times New Roman" w:hAnsi="Times New Roman" w:cs="Times New Roman"/>
        </w:rPr>
        <w:t xml:space="preserve">Process Details </w:t>
      </w:r>
    </w:p>
    <w:p w14:paraId="1C059FA1" w14:textId="77777777" w:rsidR="005A7C7A" w:rsidRPr="00AE09BA" w:rsidRDefault="005A7C7A" w:rsidP="005A7C7A"/>
    <w:p w14:paraId="59C5FD60" w14:textId="77777777" w:rsidR="006A0819" w:rsidRPr="00AE09BA" w:rsidRDefault="006A0819" w:rsidP="006A0819">
      <w:pPr>
        <w:pStyle w:val="NormalWeb"/>
        <w:shd w:val="clear" w:color="auto" w:fill="FFFFFF"/>
        <w:spacing w:before="0" w:beforeAutospacing="0" w:after="0" w:afterAutospacing="0"/>
        <w:ind w:left="450"/>
        <w:rPr>
          <w:color w:val="000000"/>
        </w:rPr>
      </w:pPr>
      <w:r w:rsidRPr="00AE09BA">
        <w:rPr>
          <w:b/>
          <w:bCs/>
          <w:color w:val="000000"/>
          <w:bdr w:val="none" w:sz="0" w:space="0" w:color="auto" w:frame="1"/>
        </w:rPr>
        <w:t>SAFETY:</w:t>
      </w:r>
    </w:p>
    <w:p w14:paraId="1B96421D" w14:textId="77777777" w:rsidR="006A0819" w:rsidRPr="00AE09BA" w:rsidRDefault="006A0819" w:rsidP="006A0819">
      <w:pPr>
        <w:pStyle w:val="NormalWeb"/>
        <w:shd w:val="clear" w:color="auto" w:fill="FFFFFF"/>
        <w:spacing w:before="0" w:beforeAutospacing="0" w:after="0" w:afterAutospacing="0"/>
        <w:ind w:left="450"/>
        <w:rPr>
          <w:color w:val="000000"/>
        </w:rPr>
      </w:pPr>
      <w:r w:rsidRPr="00AE09BA">
        <w:rPr>
          <w:color w:val="000000"/>
          <w:bdr w:val="none" w:sz="0" w:space="0" w:color="auto" w:frame="1"/>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6E731E23" w14:textId="61977030" w:rsidR="006A0819" w:rsidRPr="00AE09BA" w:rsidRDefault="006A0819" w:rsidP="006A0819">
      <w:pPr>
        <w:pStyle w:val="NormalWeb"/>
        <w:shd w:val="clear" w:color="auto" w:fill="FFFFFF"/>
        <w:spacing w:before="0" w:beforeAutospacing="0" w:after="0" w:afterAutospacing="0"/>
        <w:ind w:left="450"/>
        <w:rPr>
          <w:color w:val="000000"/>
          <w:bdr w:val="none" w:sz="0" w:space="0" w:color="auto" w:frame="1"/>
        </w:rPr>
      </w:pPr>
      <w:r w:rsidRPr="00AE09BA">
        <w:rPr>
          <w:color w:val="000000"/>
          <w:bdr w:val="none" w:sz="0" w:space="0" w:color="auto" w:frame="1"/>
        </w:rPr>
        <w:t>Refer to the work-center OSP for specifics.</w:t>
      </w:r>
    </w:p>
    <w:p w14:paraId="09B7CC24" w14:textId="4A382880" w:rsidR="00AA6F07" w:rsidRPr="00AE09BA" w:rsidRDefault="00AA6F07" w:rsidP="006A0819">
      <w:pPr>
        <w:pStyle w:val="NormalWeb"/>
        <w:shd w:val="clear" w:color="auto" w:fill="FFFFFF"/>
        <w:spacing w:before="0" w:beforeAutospacing="0" w:after="0" w:afterAutospacing="0"/>
        <w:ind w:left="450"/>
        <w:rPr>
          <w:color w:val="000000"/>
          <w:bdr w:val="none" w:sz="0" w:space="0" w:color="auto" w:frame="1"/>
        </w:rPr>
      </w:pPr>
    </w:p>
    <w:p w14:paraId="4C3CD01F" w14:textId="77777777" w:rsidR="00AA6F07" w:rsidRPr="00AE09BA" w:rsidRDefault="00AA6F07" w:rsidP="00AE09BA">
      <w:pPr>
        <w:pStyle w:val="Heading2"/>
        <w:rPr>
          <w:rFonts w:ascii="Times New Roman" w:hAnsi="Times New Roman" w:cs="Times New Roman"/>
        </w:rPr>
      </w:pPr>
      <w:r w:rsidRPr="00AE09BA">
        <w:rPr>
          <w:rFonts w:ascii="Times New Roman" w:hAnsi="Times New Roman" w:cs="Times New Roman"/>
        </w:rPr>
        <w:t xml:space="preserve">Prior to </w:t>
      </w:r>
      <w:r w:rsidRPr="00AE09BA">
        <w:rPr>
          <w:rFonts w:ascii="Times New Roman" w:hAnsi="Times New Roman" w:cs="Times New Roman"/>
        </w:rPr>
        <w:t>Cleaning</w:t>
      </w:r>
    </w:p>
    <w:p w14:paraId="6B6CD867" w14:textId="77777777" w:rsidR="00AA6F07" w:rsidRPr="00AE09BA" w:rsidRDefault="00AA6F07" w:rsidP="006A0819">
      <w:pPr>
        <w:pStyle w:val="NormalWeb"/>
        <w:shd w:val="clear" w:color="auto" w:fill="FFFFFF"/>
        <w:spacing w:before="0" w:beforeAutospacing="0" w:after="0" w:afterAutospacing="0"/>
        <w:ind w:left="450"/>
        <w:rPr>
          <w:color w:val="000000"/>
          <w:bdr w:val="none" w:sz="0" w:space="0" w:color="auto" w:frame="1"/>
        </w:rPr>
      </w:pPr>
    </w:p>
    <w:p w14:paraId="67768553" w14:textId="575ED060" w:rsidR="00AA6F07" w:rsidRPr="00AE09BA" w:rsidRDefault="00AA6F07" w:rsidP="006A0819">
      <w:pPr>
        <w:pStyle w:val="NormalWeb"/>
        <w:shd w:val="clear" w:color="auto" w:fill="FFFFFF"/>
        <w:spacing w:before="0" w:beforeAutospacing="0" w:after="0" w:afterAutospacing="0"/>
        <w:ind w:left="450"/>
        <w:rPr>
          <w:color w:val="000000"/>
        </w:rPr>
      </w:pPr>
      <w:r w:rsidRPr="00AE09BA">
        <w:rPr>
          <w:b/>
          <w:color w:val="000000"/>
          <w:bdr w:val="none" w:sz="0" w:space="0" w:color="auto" w:frame="1"/>
        </w:rPr>
        <w:t>NOTE</w:t>
      </w:r>
      <w:r w:rsidRPr="00AE09BA">
        <w:rPr>
          <w:color w:val="000000"/>
          <w:bdr w:val="none" w:sz="0" w:space="0" w:color="auto" w:frame="1"/>
        </w:rPr>
        <w:t xml:space="preserve">: The </w:t>
      </w:r>
      <w:r w:rsidRPr="00AE09BA">
        <w:t>Copper Plated Waveguide Extensions and Adapters</w:t>
      </w:r>
      <w:r w:rsidRPr="00AE09BA">
        <w:t xml:space="preserve"> have an internal delicate coating of copper that may flake with excessive scrubbing or ultra-sonicing, care should be taken when handling and cleaning these items to avoid permanent damage. </w:t>
      </w:r>
    </w:p>
    <w:p w14:paraId="39A9DDBC" w14:textId="505B4A09" w:rsidR="006A0819" w:rsidRPr="00AE09BA" w:rsidRDefault="006A0819" w:rsidP="006A0819">
      <w:pPr>
        <w:pStyle w:val="ListParagraph"/>
        <w:ind w:left="810"/>
      </w:pPr>
    </w:p>
    <w:p w14:paraId="63E7E2BF" w14:textId="77777777" w:rsidR="00AA6F07" w:rsidRPr="00AE09BA" w:rsidRDefault="00AA6F07" w:rsidP="00AA6F07">
      <w:pPr>
        <w:pStyle w:val="ListParagraph"/>
        <w:numPr>
          <w:ilvl w:val="0"/>
          <w:numId w:val="27"/>
        </w:numPr>
      </w:pPr>
      <w:r w:rsidRPr="00AE09BA">
        <w:t xml:space="preserve">Ensure the workspace is clean and tidy. </w:t>
      </w:r>
    </w:p>
    <w:p w14:paraId="51F2977F" w14:textId="77777777" w:rsidR="00AA6F07" w:rsidRPr="00AE09BA" w:rsidRDefault="00AA6F07" w:rsidP="00AA6F07">
      <w:pPr>
        <w:pStyle w:val="ListParagraph"/>
        <w:numPr>
          <w:ilvl w:val="0"/>
          <w:numId w:val="27"/>
        </w:numPr>
      </w:pPr>
      <w:r w:rsidRPr="00AE09BA">
        <w:t xml:space="preserve">Don appropriate PPE. </w:t>
      </w:r>
    </w:p>
    <w:p w14:paraId="62AAC25E" w14:textId="77777777" w:rsidR="00AA6F07" w:rsidRPr="00AE09BA" w:rsidRDefault="00AA6F07" w:rsidP="00AA6F07">
      <w:pPr>
        <w:pStyle w:val="ListParagraph"/>
        <w:numPr>
          <w:ilvl w:val="1"/>
          <w:numId w:val="27"/>
        </w:numPr>
      </w:pPr>
      <w:r w:rsidRPr="00AE09BA">
        <w:t xml:space="preserve">Gloves should be worn whenever handling items and changed after cleaning and as needed to maintain cleanliness.  </w:t>
      </w:r>
    </w:p>
    <w:p w14:paraId="4BEF8B2E" w14:textId="23A5F5E0" w:rsidR="00AA6F07" w:rsidRPr="00AE09BA" w:rsidRDefault="00AA6F07" w:rsidP="00AA6F07">
      <w:pPr>
        <w:pStyle w:val="ListParagraph"/>
        <w:numPr>
          <w:ilvl w:val="0"/>
          <w:numId w:val="27"/>
        </w:numPr>
      </w:pPr>
      <w:r w:rsidRPr="00AE09BA">
        <w:t>Inspect item(s) for damage (</w:t>
      </w:r>
      <w:r w:rsidR="008A46A9">
        <w:t xml:space="preserve">abnormalities, </w:t>
      </w:r>
      <w:r w:rsidRPr="00AE09BA">
        <w:t xml:space="preserve">chips, scratches, etc).  </w:t>
      </w:r>
    </w:p>
    <w:p w14:paraId="3FBB474A" w14:textId="77777777" w:rsidR="00AA6F07" w:rsidRPr="00AE09BA" w:rsidRDefault="00AA6F07" w:rsidP="00AA6F07">
      <w:pPr>
        <w:pStyle w:val="ListParagraph"/>
        <w:numPr>
          <w:ilvl w:val="1"/>
          <w:numId w:val="27"/>
        </w:numPr>
      </w:pPr>
      <w:r w:rsidRPr="00AE09BA">
        <w:t xml:space="preserve">If an item has pre-existing impairment, notify the PI/PM or a supervisor.  </w:t>
      </w:r>
    </w:p>
    <w:p w14:paraId="0EAACB16" w14:textId="77777777" w:rsidR="00AA6F07" w:rsidRPr="00AE09BA" w:rsidRDefault="00AA6F07" w:rsidP="00AA6F07">
      <w:pPr>
        <w:pStyle w:val="ListParagraph"/>
        <w:numPr>
          <w:ilvl w:val="1"/>
          <w:numId w:val="27"/>
        </w:numPr>
      </w:pPr>
      <w:r w:rsidRPr="00AE09BA">
        <w:t>Do not proceed until written acknowledgement of previous damage presence has been received.</w:t>
      </w:r>
    </w:p>
    <w:p w14:paraId="493DBF5E" w14:textId="6768EF00" w:rsidR="00AA6F07" w:rsidRPr="00AE09BA" w:rsidRDefault="00AA6F07" w:rsidP="00AA6F07">
      <w:pPr>
        <w:pStyle w:val="ListParagraph"/>
        <w:numPr>
          <w:ilvl w:val="0"/>
          <w:numId w:val="27"/>
        </w:numPr>
      </w:pPr>
      <w:r w:rsidRPr="00AE09BA">
        <w:t xml:space="preserve">All items shall be completely disassembled and gaskets removed prior to executing this procedure unless otherwise directed by the PI/PM.  </w:t>
      </w:r>
    </w:p>
    <w:p w14:paraId="7BCF41D9" w14:textId="77777777" w:rsidR="00AE09BA" w:rsidRPr="00AE09BA" w:rsidRDefault="00AE09BA" w:rsidP="00AE09BA">
      <w:pPr>
        <w:pStyle w:val="ListParagraph"/>
        <w:numPr>
          <w:ilvl w:val="0"/>
          <w:numId w:val="27"/>
        </w:numPr>
      </w:pPr>
      <w:r w:rsidRPr="00AE09BA">
        <w:t>Use only pre-approved detergents and solvents.</w:t>
      </w:r>
    </w:p>
    <w:p w14:paraId="094D4AA6" w14:textId="77777777" w:rsidR="00AE09BA" w:rsidRPr="00AE09BA" w:rsidRDefault="00AE09BA" w:rsidP="00AE09BA">
      <w:pPr>
        <w:pStyle w:val="ListParagraph"/>
        <w:numPr>
          <w:ilvl w:val="0"/>
          <w:numId w:val="27"/>
        </w:numPr>
      </w:pPr>
      <w:r w:rsidRPr="00AE09BA">
        <w:t>To prevent excessive exposure to particulate in air, the technician is to perform all actions within the laminar flow hood (when possible).</w:t>
      </w:r>
    </w:p>
    <w:p w14:paraId="44261033" w14:textId="094F6C8A" w:rsidR="00AE09BA" w:rsidRPr="00AE09BA" w:rsidRDefault="00AE09BA" w:rsidP="00AE09BA">
      <w:pPr>
        <w:pStyle w:val="Heading2"/>
        <w:spacing w:before="240"/>
        <w:rPr>
          <w:rFonts w:ascii="Times New Roman" w:hAnsi="Times New Roman" w:cs="Times New Roman"/>
        </w:rPr>
      </w:pPr>
      <w:r w:rsidRPr="00AE09BA">
        <w:rPr>
          <w:rFonts w:ascii="Times New Roman" w:hAnsi="Times New Roman" w:cs="Times New Roman"/>
        </w:rPr>
        <w:t>Cleaning</w:t>
      </w:r>
    </w:p>
    <w:p w14:paraId="59342824" w14:textId="43135F1D" w:rsidR="00AA6F07" w:rsidRPr="00AE09BA" w:rsidRDefault="00AA6F07" w:rsidP="006A0819">
      <w:pPr>
        <w:pStyle w:val="ListParagraph"/>
        <w:ind w:left="810"/>
      </w:pPr>
    </w:p>
    <w:p w14:paraId="1EC99D2F" w14:textId="569F0511" w:rsidR="005A7C7A" w:rsidRDefault="00AE09BA" w:rsidP="00AE09BA">
      <w:pPr>
        <w:pStyle w:val="ListParagraph"/>
        <w:numPr>
          <w:ilvl w:val="0"/>
          <w:numId w:val="29"/>
        </w:numPr>
      </w:pPr>
      <w:r w:rsidRPr="00AE09BA">
        <w:t>Remove</w:t>
      </w:r>
      <w:r w:rsidR="00AA6F07" w:rsidRPr="00AE09BA">
        <w:t xml:space="preserve"> all i</w:t>
      </w:r>
      <w:r w:rsidRPr="00AE09BA">
        <w:t xml:space="preserve">ndium, </w:t>
      </w:r>
      <w:r w:rsidR="009C1A27" w:rsidRPr="00AE09BA">
        <w:t>tape</w:t>
      </w:r>
      <w:r w:rsidRPr="00AE09BA">
        <w:t>, and tape residue</w:t>
      </w:r>
      <w:r w:rsidR="009C1A27" w:rsidRPr="00AE09BA">
        <w:t xml:space="preserve"> from all areas</w:t>
      </w:r>
      <w:r>
        <w:t xml:space="preserve">. </w:t>
      </w:r>
    </w:p>
    <w:p w14:paraId="2D9250CB" w14:textId="71FC6C9B" w:rsidR="00AE09BA" w:rsidRDefault="00AE09BA" w:rsidP="00AE09BA">
      <w:pPr>
        <w:pStyle w:val="ListParagraph"/>
        <w:numPr>
          <w:ilvl w:val="1"/>
          <w:numId w:val="29"/>
        </w:numPr>
      </w:pPr>
      <w:r>
        <w:t xml:space="preserve">Use acetone and an </w:t>
      </w:r>
      <w:r w:rsidR="00605307">
        <w:t>A</w:t>
      </w:r>
      <w:r>
        <w:t>lpha</w:t>
      </w:r>
      <w:r w:rsidR="00605307">
        <w:t>W</w:t>
      </w:r>
      <w:r>
        <w:t xml:space="preserve">ipe as necessary. </w:t>
      </w:r>
    </w:p>
    <w:p w14:paraId="6066224E" w14:textId="6FE80EA4" w:rsidR="00AE09BA" w:rsidRPr="00AE09BA" w:rsidRDefault="00AE09BA" w:rsidP="00AE09BA">
      <w:pPr>
        <w:pStyle w:val="ListParagraph"/>
        <w:numPr>
          <w:ilvl w:val="1"/>
          <w:numId w:val="29"/>
        </w:numPr>
      </w:pPr>
      <w:r>
        <w:t xml:space="preserve">Plastic razor blades may also be used externally only on non-copper coated areas. </w:t>
      </w:r>
    </w:p>
    <w:p w14:paraId="49619D5E" w14:textId="78349337" w:rsidR="00961DD6" w:rsidRDefault="00961DD6" w:rsidP="00AE09BA">
      <w:pPr>
        <w:pStyle w:val="ListParagraph"/>
        <w:numPr>
          <w:ilvl w:val="0"/>
          <w:numId w:val="29"/>
        </w:numPr>
      </w:pPr>
      <w:r>
        <w:t>Prepare a HDPE (or solvent compatible) container la</w:t>
      </w:r>
      <w:r>
        <w:t xml:space="preserve">rge enough to comfortably fit the component </w:t>
      </w:r>
      <w:r>
        <w:t xml:space="preserve">and fill it with enough isopropyl to cover </w:t>
      </w:r>
      <w:r>
        <w:t xml:space="preserve">it. </w:t>
      </w:r>
    </w:p>
    <w:p w14:paraId="3DFC51B0" w14:textId="74B22E48" w:rsidR="00605307" w:rsidRDefault="00605307" w:rsidP="00605307">
      <w:pPr>
        <w:pStyle w:val="ListParagraph"/>
        <w:ind w:left="360"/>
      </w:pPr>
      <w:r w:rsidRPr="00605307">
        <w:rPr>
          <w:b/>
        </w:rPr>
        <w:t>NOTE</w:t>
      </w:r>
      <w:r>
        <w:t xml:space="preserve">:  Only work on one component at a time and work quickly but carefully once the cleaning process has begun to avoid oxidation of the copper. </w:t>
      </w:r>
    </w:p>
    <w:p w14:paraId="69210627" w14:textId="46797EA5" w:rsidR="008A46A9" w:rsidRDefault="007D4CC1" w:rsidP="00AE09BA">
      <w:pPr>
        <w:pStyle w:val="ListParagraph"/>
        <w:numPr>
          <w:ilvl w:val="0"/>
          <w:numId w:val="29"/>
        </w:numPr>
      </w:pPr>
      <w:r>
        <w:t>C</w:t>
      </w:r>
      <w:r w:rsidR="008A46A9" w:rsidRPr="00AE09BA">
        <w:t xml:space="preserve">lean both </w:t>
      </w:r>
      <w:r w:rsidR="00961DD6">
        <w:t xml:space="preserve">the </w:t>
      </w:r>
      <w:r w:rsidR="008A46A9" w:rsidRPr="00AE09BA">
        <w:t xml:space="preserve">inside and outside of </w:t>
      </w:r>
      <w:r w:rsidR="008A46A9">
        <w:t>component</w:t>
      </w:r>
      <w:r w:rsidR="008A46A9" w:rsidRPr="00AE09BA">
        <w:t>.</w:t>
      </w:r>
    </w:p>
    <w:p w14:paraId="51D1164F" w14:textId="0703A558" w:rsidR="007D4CC1" w:rsidRDefault="007D4CC1" w:rsidP="007D4CC1">
      <w:pPr>
        <w:pStyle w:val="ListParagraph"/>
        <w:numPr>
          <w:ilvl w:val="1"/>
          <w:numId w:val="29"/>
        </w:numPr>
      </w:pPr>
      <w:r w:rsidRPr="002E5FD4">
        <w:t xml:space="preserve">Use a TX 1009B Alpha Wipe </w:t>
      </w:r>
      <w:r w:rsidR="00961DD6">
        <w:t xml:space="preserve">and a </w:t>
      </w:r>
      <w:r>
        <w:t>soft bristled bottle brush</w:t>
      </w:r>
      <w:r w:rsidRPr="002E5FD4">
        <w:t xml:space="preserve"> to apply </w:t>
      </w:r>
      <w:r>
        <w:t>Citranox</w:t>
      </w:r>
      <w:r w:rsidRPr="002E5FD4">
        <w:t xml:space="preserve"> directly to the component until all visible oxides have been removed.  </w:t>
      </w:r>
    </w:p>
    <w:p w14:paraId="60BB882A" w14:textId="5587B254" w:rsidR="007D4CC1" w:rsidRPr="00AE09BA" w:rsidRDefault="007D4CC1" w:rsidP="007D4CC1">
      <w:pPr>
        <w:pStyle w:val="ListParagraph"/>
        <w:numPr>
          <w:ilvl w:val="1"/>
          <w:numId w:val="29"/>
        </w:numPr>
      </w:pPr>
      <w:r w:rsidRPr="002E5FD4">
        <w:t>Additional wipers, brushes or other means may be necessary to pre-clean heavily soiled components.</w:t>
      </w:r>
    </w:p>
    <w:p w14:paraId="32171F0D" w14:textId="77777777" w:rsidR="008A46A9" w:rsidRPr="0078390B" w:rsidRDefault="008A46A9" w:rsidP="008A46A9">
      <w:pPr>
        <w:ind w:left="360"/>
      </w:pPr>
      <w:r w:rsidRPr="0078390B">
        <w:rPr>
          <w:b/>
        </w:rPr>
        <w:t>NOTE</w:t>
      </w:r>
      <w:r w:rsidRPr="0078390B">
        <w:t xml:space="preserve">: Copper wastewater should be saved and disposed of appropriately. </w:t>
      </w:r>
    </w:p>
    <w:p w14:paraId="6A133BF7" w14:textId="78E8C1E4" w:rsidR="009C1A27" w:rsidRDefault="009C1A27" w:rsidP="00AE09BA">
      <w:pPr>
        <w:pStyle w:val="ListParagraph"/>
        <w:numPr>
          <w:ilvl w:val="0"/>
          <w:numId w:val="29"/>
        </w:numPr>
      </w:pPr>
      <w:r w:rsidRPr="00AE09BA">
        <w:t>Rinse with only DI water until no soap residue is present.</w:t>
      </w:r>
    </w:p>
    <w:p w14:paraId="1463530C" w14:textId="3BA26D2B" w:rsidR="00605307" w:rsidRPr="00AE09BA" w:rsidRDefault="00605307" w:rsidP="00605307">
      <w:pPr>
        <w:pStyle w:val="ListParagraph"/>
        <w:numPr>
          <w:ilvl w:val="1"/>
          <w:numId w:val="29"/>
        </w:numPr>
      </w:pPr>
      <w:r>
        <w:t>Extra rinsing may be needed in blind spots and bellows.</w:t>
      </w:r>
    </w:p>
    <w:p w14:paraId="627884D5" w14:textId="58219209" w:rsidR="00AF234B" w:rsidRDefault="00AF234B" w:rsidP="00AF234B">
      <w:pPr>
        <w:pStyle w:val="Heading2"/>
        <w:spacing w:before="240" w:after="240"/>
      </w:pPr>
      <w:r>
        <w:t xml:space="preserve">Drying </w:t>
      </w:r>
    </w:p>
    <w:p w14:paraId="0393C4D9" w14:textId="32F7AB6F" w:rsidR="00605307" w:rsidRDefault="00605307" w:rsidP="00605307">
      <w:pPr>
        <w:pStyle w:val="ListParagraph"/>
        <w:numPr>
          <w:ilvl w:val="0"/>
          <w:numId w:val="29"/>
        </w:numPr>
      </w:pPr>
      <w:r>
        <w:t xml:space="preserve">Dry each </w:t>
      </w:r>
      <w:r>
        <w:t>component</w:t>
      </w:r>
      <w:r>
        <w:t xml:space="preserve"> individually IMMEDIATELY after rinsing it:</w:t>
      </w:r>
    </w:p>
    <w:p w14:paraId="56F36E54" w14:textId="593D7353" w:rsidR="00605307" w:rsidRDefault="00605307" w:rsidP="00605307">
      <w:pPr>
        <w:pStyle w:val="ListParagraph"/>
        <w:numPr>
          <w:ilvl w:val="1"/>
          <w:numId w:val="29"/>
        </w:numPr>
      </w:pPr>
      <w:r>
        <w:t xml:space="preserve">Place the component in the container of isopropyl. </w:t>
      </w:r>
    </w:p>
    <w:p w14:paraId="53DC80E1" w14:textId="035E41E6" w:rsidR="00605307" w:rsidRDefault="00605307" w:rsidP="00605307">
      <w:pPr>
        <w:pStyle w:val="ListParagraph"/>
        <w:numPr>
          <w:ilvl w:val="1"/>
          <w:numId w:val="29"/>
        </w:numPr>
      </w:pPr>
      <w:r>
        <w:t xml:space="preserve">Agitate or use a small container to pour isopropyl over the component to ensure all areas are covered in isopropyl.  </w:t>
      </w:r>
    </w:p>
    <w:p w14:paraId="4D4914F3" w14:textId="639D0775" w:rsidR="00605307" w:rsidRDefault="00605307" w:rsidP="00605307">
      <w:pPr>
        <w:pStyle w:val="ListParagraph"/>
        <w:numPr>
          <w:ilvl w:val="1"/>
          <w:numId w:val="29"/>
        </w:numPr>
      </w:pPr>
      <w:r>
        <w:t>Allow the component to soak in the isopropyl if necessary to thoroughly penetrate the blind holes</w:t>
      </w:r>
      <w:r>
        <w:t xml:space="preserve"> or bellows</w:t>
      </w:r>
      <w:r>
        <w:t xml:space="preserve">.  </w:t>
      </w:r>
    </w:p>
    <w:p w14:paraId="07B5869F" w14:textId="1774F766" w:rsidR="00605307" w:rsidRDefault="00605307" w:rsidP="00605307">
      <w:pPr>
        <w:pStyle w:val="ListParagraph"/>
        <w:numPr>
          <w:ilvl w:val="2"/>
          <w:numId w:val="29"/>
        </w:numPr>
      </w:pPr>
      <w:r>
        <w:t xml:space="preserve">Use the </w:t>
      </w:r>
      <w:r>
        <w:t>isopropyl squirt bottle if necessary</w:t>
      </w:r>
      <w:r>
        <w:t xml:space="preserve">.  </w:t>
      </w:r>
    </w:p>
    <w:p w14:paraId="59FA3B28" w14:textId="71E58CEC" w:rsidR="00605307" w:rsidRDefault="00605307" w:rsidP="00605307">
      <w:pPr>
        <w:pStyle w:val="ListParagraph"/>
        <w:numPr>
          <w:ilvl w:val="0"/>
          <w:numId w:val="29"/>
        </w:numPr>
      </w:pPr>
      <w:r>
        <w:t xml:space="preserve">Carefully remove the component from the container and transfer to a cart near a filtered nitrogen (N2) gun.  </w:t>
      </w:r>
    </w:p>
    <w:p w14:paraId="6FBC4C9D" w14:textId="77777777" w:rsidR="00605307" w:rsidRDefault="00605307" w:rsidP="00605307">
      <w:pPr>
        <w:pStyle w:val="ListParagraph"/>
        <w:numPr>
          <w:ilvl w:val="0"/>
          <w:numId w:val="29"/>
        </w:numPr>
      </w:pPr>
      <w:r>
        <w:t xml:space="preserve">Place a wiper or other barrier on the cart to prevent metal to metal contact. </w:t>
      </w:r>
    </w:p>
    <w:p w14:paraId="25D41022" w14:textId="592F9CEC" w:rsidR="00605307" w:rsidRDefault="00605307" w:rsidP="00605307">
      <w:pPr>
        <w:pStyle w:val="ListParagraph"/>
        <w:numPr>
          <w:ilvl w:val="0"/>
          <w:numId w:val="29"/>
        </w:numPr>
      </w:pPr>
      <w:r>
        <w:t xml:space="preserve">Dry the component using the nitrogen (N2) gun.  </w:t>
      </w:r>
    </w:p>
    <w:p w14:paraId="537BADCF" w14:textId="7E0871FF" w:rsidR="00605307" w:rsidRDefault="00605307" w:rsidP="00605307">
      <w:pPr>
        <w:ind w:left="360"/>
      </w:pPr>
      <w:r w:rsidRPr="00605307">
        <w:rPr>
          <w:b/>
        </w:rPr>
        <w:t>NOTE</w:t>
      </w:r>
      <w:r>
        <w:t xml:space="preserve">:  Hearing protection may be </w:t>
      </w:r>
      <w:r>
        <w:t>worn,</w:t>
      </w:r>
      <w:r>
        <w:t xml:space="preserve"> as the noise can be excessive.</w:t>
      </w:r>
    </w:p>
    <w:p w14:paraId="4AC7C6A6" w14:textId="6B639BCE" w:rsidR="00605307" w:rsidRDefault="00605307" w:rsidP="00605307">
      <w:pPr>
        <w:pStyle w:val="ListParagraph"/>
        <w:numPr>
          <w:ilvl w:val="1"/>
          <w:numId w:val="29"/>
        </w:numPr>
      </w:pPr>
      <w:r>
        <w:t>Change the component position as necessary to reach all interior/exterior areas where moisture may remain.</w:t>
      </w:r>
    </w:p>
    <w:p w14:paraId="7F3ABB55" w14:textId="0A4626D3" w:rsidR="00605307" w:rsidRDefault="00605307" w:rsidP="00605307">
      <w:pPr>
        <w:pStyle w:val="ListParagraph"/>
        <w:numPr>
          <w:ilvl w:val="0"/>
          <w:numId w:val="29"/>
        </w:numPr>
      </w:pPr>
      <w:r>
        <w:t>Painstakingly inspect component for any water, stains, or damage prior to moving onto the next dogleg for rinsing/drying.</w:t>
      </w:r>
    </w:p>
    <w:p w14:paraId="404C3170" w14:textId="1DAC9810" w:rsidR="00605307" w:rsidRDefault="00605307" w:rsidP="00605307">
      <w:pPr>
        <w:pStyle w:val="ListParagraph"/>
        <w:numPr>
          <w:ilvl w:val="1"/>
          <w:numId w:val="29"/>
        </w:numPr>
      </w:pPr>
      <w:r>
        <w:t xml:space="preserve">Repeat the cleaning process if necessary. </w:t>
      </w:r>
    </w:p>
    <w:p w14:paraId="258B0A30" w14:textId="59D07943" w:rsidR="00605307" w:rsidRPr="00B31686" w:rsidRDefault="00605307" w:rsidP="00605307">
      <w:pPr>
        <w:numPr>
          <w:ilvl w:val="0"/>
          <w:numId w:val="29"/>
        </w:numPr>
      </w:pPr>
      <w:r>
        <w:t>Bag the component o</w:t>
      </w:r>
      <w:r w:rsidRPr="00B31686">
        <w:t xml:space="preserve">nce all processes are complete, and the </w:t>
      </w:r>
      <w:r>
        <w:t xml:space="preserve">component </w:t>
      </w:r>
      <w:r w:rsidRPr="00B31686">
        <w:t xml:space="preserve">is assuredly clean and </w:t>
      </w:r>
      <w:r>
        <w:t xml:space="preserve">dry. </w:t>
      </w:r>
    </w:p>
    <w:p w14:paraId="62128F74" w14:textId="19BFA5B7" w:rsidR="00605307" w:rsidRPr="00B31686" w:rsidRDefault="00605307" w:rsidP="00605307">
      <w:pPr>
        <w:numPr>
          <w:ilvl w:val="1"/>
          <w:numId w:val="29"/>
        </w:numPr>
      </w:pPr>
      <w:r w:rsidRPr="00B31686">
        <w:t xml:space="preserve">Only bag if </w:t>
      </w:r>
      <w:r>
        <w:t xml:space="preserve">the component </w:t>
      </w:r>
      <w:r w:rsidRPr="00B31686">
        <w:t>is COMPLETELY dry and no stains appear on surface.</w:t>
      </w:r>
    </w:p>
    <w:p w14:paraId="7D1641EF" w14:textId="588D6637" w:rsidR="00605307" w:rsidRDefault="00605307" w:rsidP="00605307">
      <w:pPr>
        <w:numPr>
          <w:ilvl w:val="1"/>
          <w:numId w:val="29"/>
        </w:numPr>
      </w:pPr>
      <w:r w:rsidRPr="00B31686">
        <w:t xml:space="preserve">Place </w:t>
      </w:r>
      <w:r>
        <w:t xml:space="preserve">the component </w:t>
      </w:r>
      <w:r w:rsidRPr="00B31686">
        <w:t>in its own bag.</w:t>
      </w:r>
    </w:p>
    <w:p w14:paraId="43972598" w14:textId="232E1D71" w:rsidR="00605307" w:rsidRPr="00B31686" w:rsidRDefault="00605307" w:rsidP="00605307">
      <w:pPr>
        <w:numPr>
          <w:ilvl w:val="1"/>
          <w:numId w:val="29"/>
        </w:numPr>
      </w:pPr>
      <w:r>
        <w:t>Fill the bag with filtered N</w:t>
      </w:r>
      <w:r w:rsidRPr="00605307">
        <w:rPr>
          <w:vertAlign w:val="subscript"/>
        </w:rPr>
        <w:t>2</w:t>
      </w:r>
      <w:r>
        <w:t xml:space="preserve"> to limit oxidation. </w:t>
      </w:r>
    </w:p>
    <w:p w14:paraId="59EC6422" w14:textId="77777777" w:rsidR="00605307" w:rsidRPr="00B31686" w:rsidRDefault="00605307" w:rsidP="00605307">
      <w:pPr>
        <w:numPr>
          <w:ilvl w:val="1"/>
          <w:numId w:val="29"/>
        </w:numPr>
      </w:pPr>
      <w:r w:rsidRPr="00B31686">
        <w:t>Seal opposite end of bag with sealing machine.</w:t>
      </w:r>
    </w:p>
    <w:p w14:paraId="5CCA655C" w14:textId="77777777" w:rsidR="00605307" w:rsidRDefault="00605307" w:rsidP="00605307">
      <w:pPr>
        <w:numPr>
          <w:ilvl w:val="1"/>
          <w:numId w:val="29"/>
        </w:numPr>
      </w:pPr>
      <w:r w:rsidRPr="00B31686">
        <w:t>Cover both flange faces with the appropriately sized protective cover</w:t>
      </w:r>
    </w:p>
    <w:p w14:paraId="0C72E8DE" w14:textId="77777777" w:rsidR="00605307" w:rsidRDefault="00605307" w:rsidP="00605307">
      <w:pPr>
        <w:numPr>
          <w:ilvl w:val="0"/>
          <w:numId w:val="29"/>
        </w:numPr>
      </w:pPr>
      <w:r>
        <w:t xml:space="preserve">Proceed to the next work center or step. </w:t>
      </w:r>
    </w:p>
    <w:p w14:paraId="2F5C36E9" w14:textId="6773157D" w:rsidR="00605307" w:rsidRDefault="00605307" w:rsidP="00605307">
      <w:pPr>
        <w:numPr>
          <w:ilvl w:val="1"/>
          <w:numId w:val="29"/>
        </w:numPr>
      </w:pPr>
      <w:r>
        <w:t>Co</w:t>
      </w:r>
      <w:r>
        <w:t>mponent</w:t>
      </w:r>
      <w:r>
        <w:t>s</w:t>
      </w:r>
      <w:r>
        <w:t xml:space="preserve"> may be placed in an appropriately sized container to protect the flanges in transport.</w:t>
      </w:r>
    </w:p>
    <w:p w14:paraId="539D3FE8" w14:textId="77777777" w:rsidR="006A0819" w:rsidRPr="00AE09BA" w:rsidRDefault="006A0819" w:rsidP="006A0819">
      <w:pPr>
        <w:pStyle w:val="ListParagraph"/>
        <w:ind w:left="810"/>
      </w:pPr>
    </w:p>
    <w:p w14:paraId="4CD8EDE2" w14:textId="77777777" w:rsidR="006A0819" w:rsidRPr="00AE09BA" w:rsidRDefault="006A0819" w:rsidP="005A7C7A">
      <w:pPr>
        <w:autoSpaceDE w:val="0"/>
        <w:autoSpaceDN w:val="0"/>
        <w:adjustRightInd w:val="0"/>
      </w:pPr>
    </w:p>
    <w:p w14:paraId="01612742" w14:textId="77777777" w:rsidR="005A7C7A" w:rsidRPr="00AE09BA" w:rsidRDefault="005A7C7A" w:rsidP="005A7C7A">
      <w:pPr>
        <w:pStyle w:val="Heading1"/>
        <w:rPr>
          <w:rFonts w:ascii="Times New Roman" w:hAnsi="Times New Roman" w:cs="Times New Roman"/>
        </w:rPr>
      </w:pPr>
      <w:r w:rsidRPr="00AE09BA">
        <w:rPr>
          <w:rStyle w:val="SC2414"/>
          <w:rFonts w:ascii="Times New Roman" w:hAnsi="Times New Roman" w:cs="Times New Roman"/>
          <w:b/>
          <w:szCs w:val="32"/>
        </w:rPr>
        <w:t>Revision History</w:t>
      </w:r>
    </w:p>
    <w:p w14:paraId="3A3CC39F" w14:textId="77777777" w:rsidR="006A0819" w:rsidRPr="00AE09BA" w:rsidRDefault="006A0819" w:rsidP="005A7C7A"/>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AE09BA" w14:paraId="4C691D33"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34E3CCE9" w14:textId="77777777" w:rsidR="005A7C7A" w:rsidRPr="00AE09BA" w:rsidRDefault="005A7C7A" w:rsidP="007D4BBE">
            <w:pPr>
              <w:pStyle w:val="Default"/>
              <w:jc w:val="center"/>
              <w:rPr>
                <w:b/>
                <w:sz w:val="20"/>
                <w:szCs w:val="20"/>
              </w:rPr>
            </w:pPr>
            <w:r w:rsidRPr="00AE09BA">
              <w:rPr>
                <w:rStyle w:val="SC2414"/>
                <w:sz w:val="20"/>
                <w:szCs w:val="20"/>
              </w:rPr>
              <w:t>Rev #</w:t>
            </w:r>
          </w:p>
        </w:tc>
        <w:tc>
          <w:tcPr>
            <w:tcW w:w="6358" w:type="dxa"/>
            <w:shd w:val="clear" w:color="auto" w:fill="DEEAF6"/>
            <w:tcMar>
              <w:top w:w="0" w:type="dxa"/>
              <w:left w:w="108" w:type="dxa"/>
              <w:bottom w:w="0" w:type="dxa"/>
              <w:right w:w="108" w:type="dxa"/>
            </w:tcMar>
            <w:vAlign w:val="bottom"/>
            <w:hideMark/>
          </w:tcPr>
          <w:p w14:paraId="2238CEB1" w14:textId="77777777" w:rsidR="005A7C7A" w:rsidRPr="00AE09BA" w:rsidRDefault="005A7C7A" w:rsidP="007D4BBE">
            <w:pPr>
              <w:pStyle w:val="Default"/>
              <w:jc w:val="center"/>
              <w:rPr>
                <w:b/>
                <w:sz w:val="20"/>
                <w:szCs w:val="20"/>
              </w:rPr>
            </w:pPr>
            <w:r w:rsidRPr="00AE09BA">
              <w:rPr>
                <w:rStyle w:val="SC2414"/>
                <w:sz w:val="20"/>
                <w:szCs w:val="20"/>
              </w:rPr>
              <w:t>Revision or update:</w:t>
            </w:r>
          </w:p>
        </w:tc>
        <w:tc>
          <w:tcPr>
            <w:tcW w:w="1792" w:type="dxa"/>
            <w:shd w:val="clear" w:color="auto" w:fill="DEEAF6"/>
            <w:tcMar>
              <w:top w:w="0" w:type="dxa"/>
              <w:left w:w="108" w:type="dxa"/>
              <w:bottom w:w="0" w:type="dxa"/>
              <w:right w:w="108" w:type="dxa"/>
            </w:tcMar>
            <w:vAlign w:val="bottom"/>
            <w:hideMark/>
          </w:tcPr>
          <w:p w14:paraId="785E156E" w14:textId="77777777" w:rsidR="005A7C7A" w:rsidRPr="00AE09BA" w:rsidRDefault="005A7C7A" w:rsidP="007D4BBE">
            <w:pPr>
              <w:pStyle w:val="Default"/>
              <w:jc w:val="center"/>
              <w:rPr>
                <w:b/>
                <w:sz w:val="20"/>
                <w:szCs w:val="20"/>
              </w:rPr>
            </w:pPr>
            <w:r w:rsidRPr="00AE09BA">
              <w:rPr>
                <w:rStyle w:val="SC2414"/>
                <w:sz w:val="20"/>
                <w:szCs w:val="20"/>
              </w:rPr>
              <w:t>Effective:</w:t>
            </w:r>
          </w:p>
        </w:tc>
      </w:tr>
      <w:tr w:rsidR="005A7C7A" w:rsidRPr="00AE09BA" w14:paraId="3C1797C6" w14:textId="77777777" w:rsidTr="007D4BBE">
        <w:trPr>
          <w:trHeight w:val="390"/>
          <w:jc w:val="center"/>
        </w:trPr>
        <w:tc>
          <w:tcPr>
            <w:tcW w:w="1194" w:type="dxa"/>
            <w:tcMar>
              <w:top w:w="0" w:type="dxa"/>
              <w:left w:w="108" w:type="dxa"/>
              <w:bottom w:w="0" w:type="dxa"/>
              <w:right w:w="108" w:type="dxa"/>
            </w:tcMar>
            <w:vAlign w:val="center"/>
          </w:tcPr>
          <w:p w14:paraId="779215E6" w14:textId="77777777" w:rsidR="005A7C7A" w:rsidRPr="00AE09BA" w:rsidRDefault="00C100C4" w:rsidP="007D4BBE">
            <w:pPr>
              <w:pStyle w:val="Default"/>
              <w:jc w:val="center"/>
              <w:rPr>
                <w:rStyle w:val="SC2414"/>
                <w:b w:val="0"/>
                <w:sz w:val="20"/>
                <w:szCs w:val="20"/>
              </w:rPr>
            </w:pPr>
            <w:r w:rsidRPr="00AE09BA">
              <w:rPr>
                <w:rStyle w:val="SC2414"/>
                <w:b w:val="0"/>
                <w:sz w:val="20"/>
                <w:szCs w:val="20"/>
              </w:rPr>
              <w:t xml:space="preserve">Release </w:t>
            </w:r>
          </w:p>
        </w:tc>
        <w:tc>
          <w:tcPr>
            <w:tcW w:w="6358" w:type="dxa"/>
            <w:tcMar>
              <w:top w:w="0" w:type="dxa"/>
              <w:left w:w="108" w:type="dxa"/>
              <w:bottom w:w="0" w:type="dxa"/>
              <w:right w:w="108" w:type="dxa"/>
            </w:tcMar>
            <w:vAlign w:val="center"/>
          </w:tcPr>
          <w:p w14:paraId="3A5F19BB" w14:textId="77777777" w:rsidR="005A7C7A" w:rsidRPr="00AE09BA" w:rsidRDefault="00C100C4" w:rsidP="00C100C4">
            <w:pPr>
              <w:jc w:val="center"/>
              <w:rPr>
                <w:bCs/>
                <w:sz w:val="20"/>
                <w:szCs w:val="20"/>
              </w:rPr>
            </w:pPr>
            <w:r w:rsidRPr="00AE09BA">
              <w:rPr>
                <w:bCs/>
                <w:sz w:val="20"/>
                <w:szCs w:val="20"/>
              </w:rPr>
              <w:t xml:space="preserve">Initial Release </w:t>
            </w:r>
          </w:p>
        </w:tc>
        <w:tc>
          <w:tcPr>
            <w:tcW w:w="1792" w:type="dxa"/>
            <w:tcMar>
              <w:top w:w="0" w:type="dxa"/>
              <w:left w:w="108" w:type="dxa"/>
              <w:bottom w:w="0" w:type="dxa"/>
              <w:right w:w="108" w:type="dxa"/>
            </w:tcMar>
            <w:vAlign w:val="center"/>
          </w:tcPr>
          <w:p w14:paraId="6D6AFA77" w14:textId="7A43F6D2" w:rsidR="005A7C7A" w:rsidRPr="00AE09BA" w:rsidRDefault="009C1A27" w:rsidP="0034490A">
            <w:pPr>
              <w:jc w:val="center"/>
              <w:rPr>
                <w:sz w:val="20"/>
                <w:szCs w:val="20"/>
              </w:rPr>
            </w:pPr>
            <w:r w:rsidRPr="00AE09BA">
              <w:rPr>
                <w:sz w:val="20"/>
                <w:szCs w:val="20"/>
              </w:rPr>
              <w:t>5/4/20</w:t>
            </w:r>
          </w:p>
        </w:tc>
      </w:tr>
      <w:tr w:rsidR="005A7C7A" w:rsidRPr="00AE09BA" w14:paraId="5EB03558" w14:textId="77777777" w:rsidTr="007D4BBE">
        <w:trPr>
          <w:trHeight w:val="390"/>
          <w:jc w:val="center"/>
        </w:trPr>
        <w:tc>
          <w:tcPr>
            <w:tcW w:w="1194" w:type="dxa"/>
            <w:tcMar>
              <w:top w:w="0" w:type="dxa"/>
              <w:left w:w="108" w:type="dxa"/>
              <w:bottom w:w="0" w:type="dxa"/>
              <w:right w:w="108" w:type="dxa"/>
            </w:tcMar>
            <w:vAlign w:val="center"/>
          </w:tcPr>
          <w:p w14:paraId="70265A2C" w14:textId="08DF4063" w:rsidR="005A7C7A" w:rsidRPr="00AE09BA"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0A5E429F" w14:textId="38B813E0" w:rsidR="005A7C7A" w:rsidRPr="00AE09BA" w:rsidRDefault="005A7C7A" w:rsidP="007D4BBE">
            <w:pPr>
              <w:pStyle w:val="Default"/>
              <w:rPr>
                <w:bCs/>
                <w:sz w:val="20"/>
                <w:szCs w:val="20"/>
              </w:rPr>
            </w:pPr>
          </w:p>
        </w:tc>
        <w:tc>
          <w:tcPr>
            <w:tcW w:w="1792" w:type="dxa"/>
            <w:tcMar>
              <w:top w:w="0" w:type="dxa"/>
              <w:left w:w="108" w:type="dxa"/>
              <w:bottom w:w="0" w:type="dxa"/>
              <w:right w:w="108" w:type="dxa"/>
            </w:tcMar>
            <w:vAlign w:val="center"/>
          </w:tcPr>
          <w:p w14:paraId="5D2E9252" w14:textId="4ADD9839" w:rsidR="005A7C7A" w:rsidRPr="00AE09BA" w:rsidRDefault="005A7C7A" w:rsidP="00605307">
            <w:pPr>
              <w:pStyle w:val="Default"/>
              <w:jc w:val="center"/>
              <w:rPr>
                <w:sz w:val="20"/>
                <w:szCs w:val="20"/>
              </w:rPr>
            </w:pPr>
          </w:p>
        </w:tc>
      </w:tr>
    </w:tbl>
    <w:p w14:paraId="28FB5DD7" w14:textId="77777777" w:rsidR="005A7C7A" w:rsidRPr="00AE09BA" w:rsidRDefault="005A7C7A" w:rsidP="005A7C7A">
      <w:pPr>
        <w:rPr>
          <w:rStyle w:val="SC2414"/>
          <w:b w:val="0"/>
          <w:szCs w:val="18"/>
        </w:rPr>
      </w:pPr>
    </w:p>
    <w:p w14:paraId="4E4BD806" w14:textId="77777777" w:rsidR="005A7C7A" w:rsidRPr="00AE09BA" w:rsidRDefault="005A7C7A" w:rsidP="005A7C7A">
      <w:pPr>
        <w:autoSpaceDE w:val="0"/>
        <w:autoSpaceDN w:val="0"/>
        <w:adjustRightInd w:val="0"/>
      </w:pPr>
    </w:p>
    <w:p w14:paraId="4EAB2CA1" w14:textId="77777777" w:rsidR="00B05EDD" w:rsidRPr="00AE09BA" w:rsidRDefault="00E868D5" w:rsidP="005A7C7A">
      <w:pPr>
        <w:autoSpaceDE w:val="0"/>
        <w:autoSpaceDN w:val="0"/>
        <w:adjustRightInd w:val="0"/>
      </w:pPr>
      <w:r w:rsidRPr="00AE09BA">
        <w:br w:type="page"/>
      </w:r>
    </w:p>
    <w:p w14:paraId="17DBFD26" w14:textId="77777777" w:rsidR="00B05EDD" w:rsidRPr="00AE09BA" w:rsidRDefault="00B05EDD" w:rsidP="005A7C7A">
      <w:pPr>
        <w:autoSpaceDE w:val="0"/>
        <w:autoSpaceDN w:val="0"/>
        <w:adjustRightInd w:val="0"/>
      </w:pPr>
    </w:p>
    <w:p w14:paraId="6D8B5A6B" w14:textId="42ECED1C" w:rsidR="00B05EDD" w:rsidRPr="00AE09BA" w:rsidRDefault="00B05EDD" w:rsidP="005A7C7A">
      <w:pPr>
        <w:autoSpaceDE w:val="0"/>
        <w:autoSpaceDN w:val="0"/>
        <w:adjustRightInd w:val="0"/>
      </w:pPr>
    </w:p>
    <w:p w14:paraId="16189CE1" w14:textId="77777777" w:rsidR="00C100C4" w:rsidRPr="00AE09BA" w:rsidRDefault="00C100C4" w:rsidP="00C100C4">
      <w:pPr>
        <w:pStyle w:val="Heading1"/>
        <w:rPr>
          <w:rStyle w:val="SC2414"/>
          <w:rFonts w:ascii="Times New Roman" w:hAnsi="Times New Roman" w:cs="Times New Roman"/>
          <w:b/>
          <w:szCs w:val="18"/>
        </w:rPr>
      </w:pPr>
      <w:r w:rsidRPr="00AE09BA">
        <w:rPr>
          <w:rStyle w:val="SC2414"/>
          <w:rFonts w:ascii="Times New Roman" w:hAnsi="Times New Roman" w:cs="Times New Roman"/>
          <w:b/>
          <w:szCs w:val="18"/>
        </w:rPr>
        <w:t>Approvals</w:t>
      </w:r>
    </w:p>
    <w:p w14:paraId="49472DB1" w14:textId="77777777" w:rsidR="00C100C4" w:rsidRPr="00AE09BA" w:rsidRDefault="00C100C4" w:rsidP="00C100C4"/>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AE09BA" w14:paraId="7C91C64C"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4AB0C3DB" w14:textId="77777777" w:rsidR="00C100C4" w:rsidRPr="00AE09BA" w:rsidRDefault="00C100C4" w:rsidP="007D4BBE">
            <w:pPr>
              <w:pStyle w:val="Default"/>
              <w:jc w:val="center"/>
              <w:rPr>
                <w:rStyle w:val="SC2414"/>
                <w:bCs w:val="0"/>
                <w:color w:val="auto"/>
                <w:sz w:val="20"/>
                <w:szCs w:val="20"/>
              </w:rPr>
            </w:pPr>
            <w:r w:rsidRPr="00AE09BA">
              <w:rPr>
                <w:rStyle w:val="SC2414"/>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7A567941" w14:textId="77777777" w:rsidR="00C100C4" w:rsidRPr="00AE09BA" w:rsidRDefault="00C100C4" w:rsidP="007D4BBE">
            <w:pPr>
              <w:pStyle w:val="Default"/>
              <w:ind w:right="-115"/>
              <w:jc w:val="center"/>
              <w:rPr>
                <w:color w:val="auto"/>
                <w:sz w:val="20"/>
                <w:szCs w:val="20"/>
              </w:rPr>
            </w:pPr>
            <w:r w:rsidRPr="00AE09BA">
              <w:rPr>
                <w:rStyle w:val="SC2414"/>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6276A481" w14:textId="77777777" w:rsidR="00C100C4" w:rsidRPr="00AE09BA" w:rsidRDefault="00C100C4" w:rsidP="007D4BBE">
            <w:pPr>
              <w:pStyle w:val="Default"/>
              <w:jc w:val="center"/>
              <w:rPr>
                <w:rStyle w:val="SC2414"/>
                <w:color w:val="auto"/>
                <w:sz w:val="20"/>
                <w:szCs w:val="20"/>
              </w:rPr>
            </w:pPr>
            <w:r w:rsidRPr="00AE09BA">
              <w:rPr>
                <w:rStyle w:val="SC2414"/>
                <w:color w:val="auto"/>
                <w:sz w:val="20"/>
                <w:szCs w:val="20"/>
              </w:rPr>
              <w:t>Date:</w:t>
            </w:r>
          </w:p>
        </w:tc>
      </w:tr>
      <w:tr w:rsidR="00413FD7" w:rsidRPr="00AE09BA" w14:paraId="23E2C504" w14:textId="77777777" w:rsidTr="007D4BBE">
        <w:trPr>
          <w:trHeight w:val="141"/>
          <w:jc w:val="center"/>
        </w:trPr>
        <w:tc>
          <w:tcPr>
            <w:tcW w:w="3488" w:type="dxa"/>
            <w:tcMar>
              <w:top w:w="43" w:type="dxa"/>
              <w:left w:w="115" w:type="dxa"/>
              <w:bottom w:w="43" w:type="dxa"/>
              <w:right w:w="115" w:type="dxa"/>
            </w:tcMar>
            <w:vAlign w:val="center"/>
          </w:tcPr>
          <w:p w14:paraId="7F713EDA" w14:textId="77777777" w:rsidR="00413FD7" w:rsidRPr="00AE09BA" w:rsidRDefault="00413FD7" w:rsidP="00413FD7">
            <w:pPr>
              <w:pStyle w:val="Default"/>
              <w:rPr>
                <w:b/>
                <w:color w:val="auto"/>
                <w:sz w:val="20"/>
                <w:szCs w:val="20"/>
              </w:rPr>
            </w:pPr>
            <w:r w:rsidRPr="00AE09BA">
              <w:rPr>
                <w:b/>
                <w:color w:val="auto"/>
                <w:sz w:val="20"/>
                <w:szCs w:val="20"/>
              </w:rPr>
              <w:t xml:space="preserve">Document Owner </w:t>
            </w:r>
          </w:p>
        </w:tc>
        <w:tc>
          <w:tcPr>
            <w:tcW w:w="4027" w:type="dxa"/>
            <w:tcMar>
              <w:top w:w="43" w:type="dxa"/>
              <w:left w:w="115" w:type="dxa"/>
              <w:bottom w:w="43" w:type="dxa"/>
              <w:right w:w="115" w:type="dxa"/>
            </w:tcMar>
            <w:vAlign w:val="center"/>
          </w:tcPr>
          <w:p w14:paraId="36852B1B" w14:textId="037F7A94" w:rsidR="00413FD7" w:rsidRPr="00AE09BA" w:rsidRDefault="00943612" w:rsidP="007D4BBE">
            <w:pPr>
              <w:pStyle w:val="Default"/>
              <w:tabs>
                <w:tab w:val="left" w:pos="2750"/>
              </w:tabs>
              <w:ind w:right="-191"/>
              <w:rPr>
                <w:color w:val="auto"/>
                <w:sz w:val="20"/>
                <w:szCs w:val="20"/>
              </w:rPr>
            </w:pPr>
            <w:r w:rsidRPr="00AE09BA">
              <w:rPr>
                <w:color w:val="auto"/>
                <w:sz w:val="20"/>
                <w:szCs w:val="20"/>
              </w:rPr>
              <w:t>Alex Wildeson</w:t>
            </w:r>
          </w:p>
        </w:tc>
        <w:tc>
          <w:tcPr>
            <w:tcW w:w="1800" w:type="dxa"/>
            <w:tcMar>
              <w:top w:w="43" w:type="dxa"/>
              <w:left w:w="115" w:type="dxa"/>
              <w:bottom w:w="43" w:type="dxa"/>
              <w:right w:w="115" w:type="dxa"/>
            </w:tcMar>
            <w:vAlign w:val="center"/>
          </w:tcPr>
          <w:p w14:paraId="2DD372AB" w14:textId="56BC7D95" w:rsidR="00413FD7" w:rsidRPr="00AE09BA" w:rsidRDefault="00943612" w:rsidP="007D4BBE">
            <w:pPr>
              <w:pStyle w:val="Default"/>
              <w:jc w:val="center"/>
              <w:rPr>
                <w:color w:val="auto"/>
                <w:sz w:val="20"/>
                <w:szCs w:val="20"/>
              </w:rPr>
            </w:pPr>
            <w:r w:rsidRPr="00AE09BA">
              <w:rPr>
                <w:color w:val="auto"/>
                <w:sz w:val="20"/>
                <w:szCs w:val="20"/>
              </w:rPr>
              <w:t>5/5/20</w:t>
            </w:r>
          </w:p>
        </w:tc>
      </w:tr>
      <w:tr w:rsidR="00C100C4" w:rsidRPr="00AE09BA" w14:paraId="0E8CF125" w14:textId="77777777" w:rsidTr="003C085B">
        <w:trPr>
          <w:trHeight w:val="141"/>
          <w:jc w:val="center"/>
        </w:trPr>
        <w:tc>
          <w:tcPr>
            <w:tcW w:w="3488" w:type="dxa"/>
            <w:tcMar>
              <w:top w:w="43" w:type="dxa"/>
              <w:left w:w="115" w:type="dxa"/>
              <w:bottom w:w="43" w:type="dxa"/>
              <w:right w:w="115" w:type="dxa"/>
            </w:tcMar>
            <w:vAlign w:val="center"/>
          </w:tcPr>
          <w:p w14:paraId="4DACFB73" w14:textId="2C95F948" w:rsidR="00C100C4" w:rsidRPr="00AE09BA" w:rsidRDefault="00943612" w:rsidP="00E8679F">
            <w:pPr>
              <w:pStyle w:val="Default"/>
              <w:rPr>
                <w:b/>
                <w:color w:val="auto"/>
                <w:sz w:val="20"/>
                <w:szCs w:val="20"/>
              </w:rPr>
            </w:pPr>
            <w:r w:rsidRPr="00AE09BA">
              <w:rPr>
                <w:b/>
                <w:color w:val="auto"/>
                <w:sz w:val="20"/>
                <w:szCs w:val="20"/>
              </w:rPr>
              <w:t>Scientific Lead</w:t>
            </w:r>
          </w:p>
        </w:tc>
        <w:tc>
          <w:tcPr>
            <w:tcW w:w="4027" w:type="dxa"/>
            <w:tcMar>
              <w:top w:w="43" w:type="dxa"/>
              <w:left w:w="115" w:type="dxa"/>
              <w:bottom w:w="43" w:type="dxa"/>
              <w:right w:w="115" w:type="dxa"/>
            </w:tcMar>
            <w:vAlign w:val="center"/>
          </w:tcPr>
          <w:p w14:paraId="0037522F" w14:textId="43BBDB10" w:rsidR="00C100C4" w:rsidRPr="00AE09BA" w:rsidRDefault="00943612" w:rsidP="007D4BBE">
            <w:pPr>
              <w:pStyle w:val="Default"/>
              <w:tabs>
                <w:tab w:val="left" w:pos="2750"/>
              </w:tabs>
              <w:ind w:right="-191"/>
              <w:rPr>
                <w:color w:val="auto"/>
                <w:sz w:val="20"/>
                <w:szCs w:val="20"/>
              </w:rPr>
            </w:pPr>
            <w:r w:rsidRPr="00AE09BA">
              <w:rPr>
                <w:color w:val="auto"/>
                <w:sz w:val="20"/>
                <w:szCs w:val="20"/>
              </w:rPr>
              <w:t>G</w:t>
            </w:r>
            <w:r w:rsidR="00DE4817" w:rsidRPr="00AE09BA">
              <w:rPr>
                <w:color w:val="auto"/>
                <w:sz w:val="20"/>
                <w:szCs w:val="20"/>
              </w:rPr>
              <w:t>ianluigi</w:t>
            </w:r>
            <w:r w:rsidRPr="00AE09BA">
              <w:rPr>
                <w:color w:val="auto"/>
                <w:sz w:val="20"/>
                <w:szCs w:val="20"/>
              </w:rPr>
              <w:t xml:space="preserve"> Ciovati</w:t>
            </w:r>
          </w:p>
        </w:tc>
        <w:tc>
          <w:tcPr>
            <w:tcW w:w="1800" w:type="dxa"/>
            <w:tcMar>
              <w:top w:w="43" w:type="dxa"/>
              <w:left w:w="115" w:type="dxa"/>
              <w:bottom w:w="43" w:type="dxa"/>
              <w:right w:w="115" w:type="dxa"/>
            </w:tcMar>
            <w:vAlign w:val="center"/>
          </w:tcPr>
          <w:p w14:paraId="65587BA9" w14:textId="77777777" w:rsidR="00C100C4" w:rsidRPr="00AE09BA" w:rsidRDefault="00C100C4" w:rsidP="007D4BBE">
            <w:pPr>
              <w:pStyle w:val="Default"/>
              <w:jc w:val="center"/>
              <w:rPr>
                <w:color w:val="auto"/>
                <w:sz w:val="20"/>
                <w:szCs w:val="20"/>
              </w:rPr>
            </w:pPr>
          </w:p>
        </w:tc>
      </w:tr>
      <w:tr w:rsidR="00875FE4" w:rsidRPr="00AE09BA" w14:paraId="6F45CC43" w14:textId="77777777" w:rsidTr="003C085B">
        <w:trPr>
          <w:trHeight w:val="141"/>
          <w:jc w:val="center"/>
        </w:trPr>
        <w:tc>
          <w:tcPr>
            <w:tcW w:w="3488" w:type="dxa"/>
            <w:tcMar>
              <w:top w:w="43" w:type="dxa"/>
              <w:left w:w="115" w:type="dxa"/>
              <w:bottom w:w="43" w:type="dxa"/>
              <w:right w:w="115" w:type="dxa"/>
            </w:tcMar>
            <w:vAlign w:val="center"/>
          </w:tcPr>
          <w:p w14:paraId="4AD2EFE3" w14:textId="337A7845" w:rsidR="00875FE4" w:rsidRPr="00AE09BA" w:rsidRDefault="00875FE4" w:rsidP="00E8679F">
            <w:pPr>
              <w:pStyle w:val="Default"/>
              <w:rPr>
                <w:rStyle w:val="SC2414"/>
                <w:bCs w:val="0"/>
                <w:color w:val="auto"/>
                <w:sz w:val="20"/>
                <w:szCs w:val="20"/>
              </w:rPr>
            </w:pPr>
            <w:r w:rsidRPr="00AE09BA">
              <w:rPr>
                <w:rStyle w:val="SC2414"/>
                <w:bCs w:val="0"/>
                <w:color w:val="auto"/>
                <w:sz w:val="20"/>
                <w:szCs w:val="20"/>
              </w:rPr>
              <w:t>R</w:t>
            </w:r>
            <w:r w:rsidRPr="00AE09BA">
              <w:rPr>
                <w:rStyle w:val="SC2414"/>
              </w:rPr>
              <w:t>eviewer</w:t>
            </w:r>
          </w:p>
        </w:tc>
        <w:tc>
          <w:tcPr>
            <w:tcW w:w="4027" w:type="dxa"/>
            <w:tcMar>
              <w:top w:w="43" w:type="dxa"/>
              <w:left w:w="115" w:type="dxa"/>
              <w:bottom w:w="43" w:type="dxa"/>
              <w:right w:w="115" w:type="dxa"/>
            </w:tcMar>
            <w:vAlign w:val="center"/>
          </w:tcPr>
          <w:p w14:paraId="1949C0F7" w14:textId="434D6705" w:rsidR="00875FE4" w:rsidRPr="00AE09BA" w:rsidRDefault="00875FE4" w:rsidP="007D4BBE">
            <w:pPr>
              <w:pStyle w:val="Default"/>
              <w:ind w:right="-191"/>
              <w:rPr>
                <w:color w:val="auto"/>
                <w:sz w:val="20"/>
                <w:szCs w:val="20"/>
              </w:rPr>
            </w:pPr>
            <w:r w:rsidRPr="00AE09BA">
              <w:rPr>
                <w:color w:val="auto"/>
                <w:sz w:val="20"/>
                <w:szCs w:val="20"/>
              </w:rPr>
              <w:t>Ashley Mitchell</w:t>
            </w:r>
          </w:p>
        </w:tc>
        <w:tc>
          <w:tcPr>
            <w:tcW w:w="1800" w:type="dxa"/>
            <w:tcMar>
              <w:top w:w="43" w:type="dxa"/>
              <w:left w:w="115" w:type="dxa"/>
              <w:bottom w:w="43" w:type="dxa"/>
              <w:right w:w="115" w:type="dxa"/>
            </w:tcMar>
            <w:vAlign w:val="center"/>
          </w:tcPr>
          <w:p w14:paraId="3D7C93FB" w14:textId="77777777" w:rsidR="00875FE4" w:rsidRPr="00AE09BA" w:rsidRDefault="00875FE4" w:rsidP="00875FE4">
            <w:pPr>
              <w:pStyle w:val="Default"/>
              <w:rPr>
                <w:color w:val="auto"/>
                <w:sz w:val="20"/>
                <w:szCs w:val="20"/>
              </w:rPr>
            </w:pPr>
          </w:p>
        </w:tc>
      </w:tr>
      <w:tr w:rsidR="00C100C4" w:rsidRPr="00AE09BA" w14:paraId="25F71EA4" w14:textId="77777777" w:rsidTr="003C085B">
        <w:trPr>
          <w:trHeight w:val="141"/>
          <w:jc w:val="center"/>
        </w:trPr>
        <w:tc>
          <w:tcPr>
            <w:tcW w:w="3488" w:type="dxa"/>
            <w:tcMar>
              <w:top w:w="43" w:type="dxa"/>
              <w:left w:w="115" w:type="dxa"/>
              <w:bottom w:w="43" w:type="dxa"/>
              <w:right w:w="115" w:type="dxa"/>
            </w:tcMar>
            <w:vAlign w:val="center"/>
          </w:tcPr>
          <w:p w14:paraId="500BC5C6" w14:textId="79CE6949" w:rsidR="00C100C4" w:rsidRPr="00AE09BA" w:rsidRDefault="00943612" w:rsidP="00E8679F">
            <w:pPr>
              <w:pStyle w:val="Default"/>
              <w:rPr>
                <w:b/>
                <w:color w:val="auto"/>
                <w:sz w:val="20"/>
                <w:szCs w:val="20"/>
              </w:rPr>
            </w:pPr>
            <w:r w:rsidRPr="00AE09BA">
              <w:rPr>
                <w:rStyle w:val="SC2414"/>
                <w:bCs w:val="0"/>
                <w:color w:val="auto"/>
                <w:sz w:val="20"/>
                <w:szCs w:val="20"/>
              </w:rPr>
              <w:t>P</w:t>
            </w:r>
            <w:r w:rsidRPr="00AE09BA">
              <w:rPr>
                <w:rStyle w:val="SC2414"/>
              </w:rPr>
              <w:t>roject Lead</w:t>
            </w:r>
            <w:r w:rsidR="00C100C4" w:rsidRPr="00AE09BA">
              <w:rPr>
                <w:rStyle w:val="SC2414"/>
                <w:bCs w:val="0"/>
                <w:color w:val="auto"/>
                <w:sz w:val="20"/>
                <w:szCs w:val="20"/>
              </w:rPr>
              <w:t xml:space="preserve">  </w:t>
            </w:r>
          </w:p>
        </w:tc>
        <w:tc>
          <w:tcPr>
            <w:tcW w:w="4027" w:type="dxa"/>
            <w:tcMar>
              <w:top w:w="43" w:type="dxa"/>
              <w:left w:w="115" w:type="dxa"/>
              <w:bottom w:w="43" w:type="dxa"/>
              <w:right w:w="115" w:type="dxa"/>
            </w:tcMar>
            <w:vAlign w:val="center"/>
          </w:tcPr>
          <w:p w14:paraId="6EAF12A5" w14:textId="5D172F01" w:rsidR="00C100C4" w:rsidRPr="00AE09BA" w:rsidRDefault="00943612" w:rsidP="007D4BBE">
            <w:pPr>
              <w:pStyle w:val="Default"/>
              <w:ind w:right="-191"/>
              <w:rPr>
                <w:color w:val="auto"/>
                <w:sz w:val="20"/>
                <w:szCs w:val="20"/>
              </w:rPr>
            </w:pPr>
            <w:r w:rsidRPr="00AE09BA">
              <w:rPr>
                <w:color w:val="auto"/>
                <w:sz w:val="20"/>
                <w:szCs w:val="20"/>
              </w:rPr>
              <w:t>Kurt Macha</w:t>
            </w:r>
          </w:p>
        </w:tc>
        <w:tc>
          <w:tcPr>
            <w:tcW w:w="1800" w:type="dxa"/>
            <w:tcMar>
              <w:top w:w="43" w:type="dxa"/>
              <w:left w:w="115" w:type="dxa"/>
              <w:bottom w:w="43" w:type="dxa"/>
              <w:right w:w="115" w:type="dxa"/>
            </w:tcMar>
            <w:vAlign w:val="center"/>
          </w:tcPr>
          <w:p w14:paraId="4D6B3C5A" w14:textId="668983DD" w:rsidR="00875FE4" w:rsidRPr="00AE09BA" w:rsidRDefault="00875FE4" w:rsidP="00875FE4">
            <w:pPr>
              <w:pStyle w:val="Default"/>
              <w:rPr>
                <w:color w:val="auto"/>
                <w:sz w:val="20"/>
                <w:szCs w:val="20"/>
              </w:rPr>
            </w:pPr>
          </w:p>
        </w:tc>
      </w:tr>
    </w:tbl>
    <w:p w14:paraId="145F3A2B" w14:textId="77777777" w:rsidR="00C100C4" w:rsidRPr="00AE09BA" w:rsidRDefault="00C100C4" w:rsidP="00C100C4"/>
    <w:p w14:paraId="24474D21" w14:textId="77777777" w:rsidR="007954DE" w:rsidRPr="00AE09BA" w:rsidRDefault="007954DE" w:rsidP="007954DE">
      <w:pPr>
        <w:tabs>
          <w:tab w:val="left" w:pos="360"/>
        </w:tabs>
        <w:spacing w:after="200" w:line="276" w:lineRule="auto"/>
        <w:rPr>
          <w:b/>
          <w:color w:val="auto"/>
          <w:sz w:val="20"/>
          <w:szCs w:val="20"/>
        </w:rPr>
      </w:pPr>
    </w:p>
    <w:sectPr w:rsidR="007954DE" w:rsidRPr="00AE09BA" w:rsidSect="00B43C3C">
      <w:headerReference w:type="default" r:id="rId11"/>
      <w:footerReference w:type="default" r:id="rId12"/>
      <w:headerReference w:type="first" r:id="rId13"/>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BB1D9" w14:textId="77777777" w:rsidR="00644C3A" w:rsidRDefault="00644C3A" w:rsidP="00470DBE">
      <w:r>
        <w:separator/>
      </w:r>
    </w:p>
    <w:p w14:paraId="77D28A2D" w14:textId="77777777" w:rsidR="00644C3A" w:rsidRDefault="00644C3A"/>
    <w:p w14:paraId="630BD0F7" w14:textId="77777777" w:rsidR="00644C3A" w:rsidRDefault="00644C3A" w:rsidP="003D67BE"/>
  </w:endnote>
  <w:endnote w:type="continuationSeparator" w:id="0">
    <w:p w14:paraId="0FEFCB32" w14:textId="77777777" w:rsidR="00644C3A" w:rsidRDefault="00644C3A" w:rsidP="00470DBE">
      <w:r>
        <w:continuationSeparator/>
      </w:r>
    </w:p>
    <w:p w14:paraId="7D530611" w14:textId="77777777" w:rsidR="00644C3A" w:rsidRDefault="00644C3A"/>
    <w:p w14:paraId="751CB043" w14:textId="77777777" w:rsidR="00644C3A" w:rsidRDefault="00644C3A"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087F" w14:textId="72806BD6"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AF234B">
      <w:rPr>
        <w:rFonts w:ascii="Arial" w:hAnsi="Arial" w:cs="Arial"/>
        <w:b/>
        <w:noProof/>
        <w:sz w:val="16"/>
        <w:szCs w:val="16"/>
      </w:rPr>
      <w:t>3</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AF234B">
      <w:rPr>
        <w:rFonts w:ascii="Arial" w:hAnsi="Arial" w:cs="Arial"/>
        <w:b/>
        <w:noProof/>
        <w:sz w:val="16"/>
        <w:szCs w:val="16"/>
      </w:rPr>
      <w:t>5</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D380" w14:textId="2799DF18"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1844EE">
      <w:rPr>
        <w:rFonts w:ascii="Arial" w:hAnsi="Arial" w:cs="Arial"/>
        <w:i/>
        <w:noProof/>
        <w:sz w:val="16"/>
        <w:szCs w:val="16"/>
      </w:rPr>
      <w:t>5/19/2020</w:t>
    </w:r>
    <w:r w:rsidRPr="009229C5">
      <w:rPr>
        <w:rFonts w:ascii="Arial" w:hAnsi="Arial" w:cs="Arial"/>
        <w:i/>
        <w:sz w:val="16"/>
        <w:szCs w:val="16"/>
      </w:rPr>
      <w:fldChar w:fldCharType="end"/>
    </w:r>
    <w:r>
      <w:rPr>
        <w:rFonts w:ascii="Arial" w:hAnsi="Arial" w:cs="Arial"/>
        <w:i/>
        <w:sz w:val="16"/>
        <w:szCs w:val="16"/>
      </w:rPr>
      <w:t>.</w:t>
    </w:r>
  </w:p>
  <w:p w14:paraId="0390DCC0" w14:textId="72C5A5C0"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246836">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246836">
      <w:rPr>
        <w:rFonts w:ascii="Arial" w:hAnsi="Arial" w:cs="Arial"/>
        <w:b/>
        <w:noProof/>
        <w:sz w:val="16"/>
        <w:szCs w:val="16"/>
      </w:rPr>
      <w:t>5</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AF98" w14:textId="77777777" w:rsidR="00644C3A" w:rsidRDefault="00644C3A" w:rsidP="00470DBE">
      <w:r>
        <w:separator/>
      </w:r>
    </w:p>
    <w:p w14:paraId="312F29A5" w14:textId="77777777" w:rsidR="00644C3A" w:rsidRDefault="00644C3A"/>
    <w:p w14:paraId="795D6718" w14:textId="77777777" w:rsidR="00644C3A" w:rsidRDefault="00644C3A" w:rsidP="003D67BE"/>
  </w:footnote>
  <w:footnote w:type="continuationSeparator" w:id="0">
    <w:p w14:paraId="7EB26BDB" w14:textId="77777777" w:rsidR="00644C3A" w:rsidRDefault="00644C3A" w:rsidP="00470DBE">
      <w:r>
        <w:continuationSeparator/>
      </w:r>
    </w:p>
    <w:p w14:paraId="1DE0A766" w14:textId="77777777" w:rsidR="00644C3A" w:rsidRDefault="00644C3A"/>
    <w:p w14:paraId="4E82AAD4" w14:textId="77777777" w:rsidR="00644C3A" w:rsidRDefault="00644C3A"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14:paraId="2DB7E28B" w14:textId="77777777" w:rsidTr="00992CE4">
      <w:tc>
        <w:tcPr>
          <w:tcW w:w="3651" w:type="dxa"/>
          <w:shd w:val="clear" w:color="auto" w:fill="auto"/>
        </w:tcPr>
        <w:p w14:paraId="4B39A8DE" w14:textId="3E0736BA" w:rsidR="00B43C3C" w:rsidRPr="001F6D4C" w:rsidRDefault="00EA3CDE" w:rsidP="00B43C3C">
          <w:pPr>
            <w:rPr>
              <w:noProof/>
            </w:rPr>
          </w:pPr>
          <w:r>
            <w:rPr>
              <w:noProof/>
            </w:rPr>
            <w:drawing>
              <wp:inline distT="0" distB="0" distL="0" distR="0" wp14:anchorId="469DE511" wp14:editId="7E5C827F">
                <wp:extent cx="207264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72640" cy="685800"/>
                        </a:xfrm>
                        <a:prstGeom prst="rect">
                          <a:avLst/>
                        </a:prstGeom>
                        <a:noFill/>
                        <a:ln>
                          <a:noFill/>
                        </a:ln>
                      </pic:spPr>
                    </pic:pic>
                  </a:graphicData>
                </a:graphic>
              </wp:inline>
            </w:drawing>
          </w:r>
        </w:p>
      </w:tc>
      <w:tc>
        <w:tcPr>
          <w:tcW w:w="3008" w:type="dxa"/>
          <w:shd w:val="clear" w:color="auto" w:fill="auto"/>
        </w:tcPr>
        <w:p w14:paraId="7E103BFD"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4FDA55F7" w14:textId="3BC302A0"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w:t>
          </w:r>
          <w:r w:rsidR="00A01B85">
            <w:rPr>
              <w:rFonts w:ascii="Calibri" w:hAnsi="Calibri" w:cs="Calibri"/>
              <w:color w:val="C00000"/>
              <w:sz w:val="16"/>
              <w:szCs w:val="16"/>
            </w:rPr>
            <w:t>C75-CPR-CHEM-CPWG</w:t>
          </w:r>
        </w:p>
        <w:p w14:paraId="0620C4B8" w14:textId="32E693A7"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00A01B85">
            <w:rPr>
              <w:rFonts w:ascii="Calibri" w:hAnsi="Calibri" w:cs="Calibri"/>
              <w:color w:val="C00000"/>
              <w:sz w:val="16"/>
              <w:szCs w:val="16"/>
            </w:rPr>
            <w:t>Copper Plated Wave Guide Extension Cleaning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14:paraId="32276E1B" w14:textId="77777777" w:rsidR="00B43C3C" w:rsidRPr="00CD3F50" w:rsidRDefault="00B43C3C" w:rsidP="004C7DE2">
          <w:pPr>
            <w:jc w:val="right"/>
            <w:rPr>
              <w:rFonts w:ascii="Calibri" w:hAnsi="Calibri" w:cs="Arial"/>
              <w:color w:val="C00000"/>
              <w:sz w:val="16"/>
              <w:szCs w:val="16"/>
            </w:rPr>
          </w:pPr>
        </w:p>
      </w:tc>
    </w:tr>
  </w:tbl>
  <w:p w14:paraId="027AB515"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B960" w14:textId="71181720" w:rsidR="00FA7FF5" w:rsidRDefault="00EA3CDE" w:rsidP="006A2E18">
    <w:pPr>
      <w:pStyle w:val="Header"/>
      <w:ind w:left="-270"/>
      <w:rPr>
        <w:noProof/>
      </w:rPr>
    </w:pPr>
    <w:r>
      <w:rPr>
        <w:noProof/>
      </w:rPr>
      <w:drawing>
        <wp:inline distT="0" distB="0" distL="0" distR="0" wp14:anchorId="3269978A" wp14:editId="5D7F20BF">
          <wp:extent cx="2171700" cy="67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8180"/>
                  </a:xfrm>
                  <a:prstGeom prst="rect">
                    <a:avLst/>
                  </a:prstGeom>
                  <a:noFill/>
                  <a:ln>
                    <a:noFill/>
                  </a:ln>
                </pic:spPr>
              </pic:pic>
            </a:graphicData>
          </a:graphic>
        </wp:inline>
      </w:drawing>
    </w:r>
    <w:r w:rsidR="00FA7FF5">
      <w:rPr>
        <w:noProof/>
      </w:rPr>
      <w:t xml:space="preserve">                                                                </w:t>
    </w:r>
    <w:r>
      <w:rPr>
        <w:noProof/>
      </w:rPr>
      <w:drawing>
        <wp:inline distT="0" distB="0" distL="0" distR="0" wp14:anchorId="17E76539" wp14:editId="4BB3DFBF">
          <wp:extent cx="192786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57200"/>
                  </a:xfrm>
                  <a:prstGeom prst="rect">
                    <a:avLst/>
                  </a:prstGeom>
                  <a:noFill/>
                  <a:ln>
                    <a:noFill/>
                  </a:ln>
                </pic:spPr>
              </pic:pic>
            </a:graphicData>
          </a:graphic>
        </wp:inline>
      </w:drawing>
    </w:r>
  </w:p>
  <w:p w14:paraId="64626619"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958219E"/>
    <w:multiLevelType w:val="hybridMultilevel"/>
    <w:tmpl w:val="BC466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D411AE"/>
    <w:multiLevelType w:val="hybridMultilevel"/>
    <w:tmpl w:val="D67014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24"/>
  </w:num>
  <w:num w:numId="4">
    <w:abstractNumId w:val="21"/>
  </w:num>
  <w:num w:numId="5">
    <w:abstractNumId w:val="5"/>
  </w:num>
  <w:num w:numId="6">
    <w:abstractNumId w:val="26"/>
  </w:num>
  <w:num w:numId="7">
    <w:abstractNumId w:val="20"/>
  </w:num>
  <w:num w:numId="8">
    <w:abstractNumId w:val="25"/>
  </w:num>
  <w:num w:numId="9">
    <w:abstractNumId w:val="14"/>
  </w:num>
  <w:num w:numId="10">
    <w:abstractNumId w:val="1"/>
  </w:num>
  <w:num w:numId="11">
    <w:abstractNumId w:val="10"/>
  </w:num>
  <w:num w:numId="12">
    <w:abstractNumId w:val="13"/>
  </w:num>
  <w:num w:numId="13">
    <w:abstractNumId w:val="27"/>
  </w:num>
  <w:num w:numId="14">
    <w:abstractNumId w:val="15"/>
  </w:num>
  <w:num w:numId="15">
    <w:abstractNumId w:val="23"/>
  </w:num>
  <w:num w:numId="16">
    <w:abstractNumId w:val="6"/>
  </w:num>
  <w:num w:numId="17">
    <w:abstractNumId w:val="4"/>
  </w:num>
  <w:num w:numId="18">
    <w:abstractNumId w:val="9"/>
  </w:num>
  <w:num w:numId="19">
    <w:abstractNumId w:val="3"/>
  </w:num>
  <w:num w:numId="20">
    <w:abstractNumId w:val="8"/>
  </w:num>
  <w:num w:numId="21">
    <w:abstractNumId w:val="18"/>
  </w:num>
  <w:num w:numId="22">
    <w:abstractNumId w:val="22"/>
  </w:num>
  <w:num w:numId="23">
    <w:abstractNumId w:val="17"/>
  </w:num>
  <w:num w:numId="24">
    <w:abstractNumId w:val="16"/>
  </w:num>
  <w:num w:numId="25">
    <w:abstractNumId w:val="28"/>
  </w:num>
  <w:num w:numId="26">
    <w:abstractNumId w:val="11"/>
  </w:num>
  <w:num w:numId="27">
    <w:abstractNumId w:val="7"/>
  </w:num>
  <w:num w:numId="28">
    <w:abstractNumId w:val="12"/>
  </w:num>
  <w:num w:numId="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644C3A"/>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0DB3"/>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4EE"/>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6836"/>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5FD4"/>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5774"/>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36FE"/>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5307"/>
    <w:rsid w:val="00607C1D"/>
    <w:rsid w:val="006111E6"/>
    <w:rsid w:val="0061439A"/>
    <w:rsid w:val="00614D53"/>
    <w:rsid w:val="006208BF"/>
    <w:rsid w:val="006250A9"/>
    <w:rsid w:val="00625293"/>
    <w:rsid w:val="0062656B"/>
    <w:rsid w:val="006272DA"/>
    <w:rsid w:val="00636B7A"/>
    <w:rsid w:val="00637933"/>
    <w:rsid w:val="00641F16"/>
    <w:rsid w:val="0064423F"/>
    <w:rsid w:val="00644C3A"/>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0819"/>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10A5A"/>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390B"/>
    <w:rsid w:val="00787428"/>
    <w:rsid w:val="007904A0"/>
    <w:rsid w:val="0079496A"/>
    <w:rsid w:val="007954DE"/>
    <w:rsid w:val="007962D4"/>
    <w:rsid w:val="007A2D36"/>
    <w:rsid w:val="007A357E"/>
    <w:rsid w:val="007A3FF1"/>
    <w:rsid w:val="007A40F8"/>
    <w:rsid w:val="007A45A0"/>
    <w:rsid w:val="007B5E4A"/>
    <w:rsid w:val="007B6034"/>
    <w:rsid w:val="007C0447"/>
    <w:rsid w:val="007C3E13"/>
    <w:rsid w:val="007D0D15"/>
    <w:rsid w:val="007D0E46"/>
    <w:rsid w:val="007D4BBE"/>
    <w:rsid w:val="007D4CC1"/>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5FE4"/>
    <w:rsid w:val="008766EB"/>
    <w:rsid w:val="008766EF"/>
    <w:rsid w:val="00882358"/>
    <w:rsid w:val="00897D18"/>
    <w:rsid w:val="008A0D21"/>
    <w:rsid w:val="008A227D"/>
    <w:rsid w:val="008A46A9"/>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4100"/>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43612"/>
    <w:rsid w:val="009473D5"/>
    <w:rsid w:val="00950E87"/>
    <w:rsid w:val="0095121F"/>
    <w:rsid w:val="00952765"/>
    <w:rsid w:val="0095489A"/>
    <w:rsid w:val="00961195"/>
    <w:rsid w:val="00961DD6"/>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1A27"/>
    <w:rsid w:val="009C3688"/>
    <w:rsid w:val="009C4B08"/>
    <w:rsid w:val="009D068A"/>
    <w:rsid w:val="009D06BE"/>
    <w:rsid w:val="009D688D"/>
    <w:rsid w:val="009E221A"/>
    <w:rsid w:val="009E4F1C"/>
    <w:rsid w:val="009E6316"/>
    <w:rsid w:val="009F0BB5"/>
    <w:rsid w:val="009F4A5E"/>
    <w:rsid w:val="009F4D06"/>
    <w:rsid w:val="009F4FC2"/>
    <w:rsid w:val="00A01B85"/>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6F07"/>
    <w:rsid w:val="00AA7B0F"/>
    <w:rsid w:val="00AB1060"/>
    <w:rsid w:val="00AB1DB7"/>
    <w:rsid w:val="00AB231A"/>
    <w:rsid w:val="00AB301C"/>
    <w:rsid w:val="00AC2A2A"/>
    <w:rsid w:val="00AC2CB0"/>
    <w:rsid w:val="00AC735A"/>
    <w:rsid w:val="00AD1311"/>
    <w:rsid w:val="00AD1725"/>
    <w:rsid w:val="00AD62C7"/>
    <w:rsid w:val="00AD730A"/>
    <w:rsid w:val="00AE09BA"/>
    <w:rsid w:val="00AE0CCA"/>
    <w:rsid w:val="00AE224B"/>
    <w:rsid w:val="00AE50A6"/>
    <w:rsid w:val="00AF234B"/>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A7B3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BF729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481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3CDE"/>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6463C"/>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A801A"/>
  <w15:chartTrackingRefBased/>
  <w15:docId w15:val="{B5C4DE38-7218-4A72-A96F-63D150C6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customStyle="1" w:styleId="UnresolvedMention">
    <w:name w:val="Unresolved Mention"/>
    <w:basedOn w:val="DefaultParagraphFont"/>
    <w:uiPriority w:val="99"/>
    <w:semiHidden/>
    <w:unhideWhenUsed/>
    <w:rsid w:val="00345774"/>
    <w:rPr>
      <w:color w:val="605E5C"/>
      <w:shd w:val="clear" w:color="auto" w:fill="E1DFDD"/>
    </w:rPr>
  </w:style>
  <w:style w:type="paragraph" w:styleId="NormalWeb">
    <w:name w:val="Normal (Web)"/>
    <w:basedOn w:val="Normal"/>
    <w:uiPriority w:val="99"/>
    <w:semiHidden/>
    <w:unhideWhenUsed/>
    <w:rsid w:val="006A081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19264812">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21832141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153/Copper%20Plated%20Waveguide%20Extension%20%20Cleaning%20Procedure.docx.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s.jlab.org/mis/apps/mis_forms/operational_safety_procedure_form.cfm?entry_id=83800" TargetMode="External"/><Relationship Id="rId4" Type="http://schemas.openxmlformats.org/officeDocument/2006/relationships/settings" Target="settings.xml"/><Relationship Id="rId9" Type="http://schemas.openxmlformats.org/officeDocument/2006/relationships/hyperlink" Target="https://jlabdoc.jlab.org/docushare/dsweb/View/Collection-2654?sort=Dat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991F-678D-4B7F-851B-EF9574BD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1344</TotalTime>
  <Pages>5</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6516</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Casey</dc:creator>
  <cp:keywords/>
  <cp:lastModifiedBy>Ashley Anderson Mitchell</cp:lastModifiedBy>
  <cp:revision>7</cp:revision>
  <cp:lastPrinted>2018-02-27T20:36:00Z</cp:lastPrinted>
  <dcterms:created xsi:type="dcterms:W3CDTF">2020-05-12T18:40:00Z</dcterms:created>
  <dcterms:modified xsi:type="dcterms:W3CDTF">2020-05-20T15:34:00Z</dcterms:modified>
</cp:coreProperties>
</file>