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0855F" w14:textId="77777777" w:rsidR="00580DF7" w:rsidRPr="00580DF7" w:rsidRDefault="00580DF7">
      <w:pPr>
        <w:rPr>
          <w:b/>
        </w:rPr>
      </w:pPr>
      <w:r w:rsidRPr="00580DF7">
        <w:rPr>
          <w:b/>
        </w:rPr>
        <w:t xml:space="preserve">1. Overall view of </w:t>
      </w:r>
      <w:r w:rsidR="004C283E">
        <w:rPr>
          <w:b/>
        </w:rPr>
        <w:t xml:space="preserve">LCLS-II </w:t>
      </w:r>
      <w:r w:rsidRPr="00580DF7">
        <w:rPr>
          <w:b/>
        </w:rPr>
        <w:t>NCRs</w:t>
      </w:r>
    </w:p>
    <w:p w14:paraId="7E4941A9" w14:textId="77777777" w:rsidR="00175708" w:rsidRDefault="0058755A">
      <w:r>
        <w:t>As of May 2020, the total number of NCRs in L</w:t>
      </w:r>
      <w:r w:rsidR="001C3E7D">
        <w:t>CLS-II</w:t>
      </w:r>
      <w:r>
        <w:t xml:space="preserve"> is 1956. </w:t>
      </w:r>
      <w:r w:rsidR="001C3E7D">
        <w:t xml:space="preserve">These NCRs were generated by </w:t>
      </w:r>
      <w:r w:rsidR="00642D05">
        <w:t xml:space="preserve">44 travelers. </w:t>
      </w:r>
      <w:r>
        <w:t xml:space="preserve">Figure 1 and </w:t>
      </w:r>
      <w:r w:rsidR="001C3E7D">
        <w:t xml:space="preserve">Figure </w:t>
      </w:r>
      <w:r>
        <w:t>2</w:t>
      </w:r>
      <w:r w:rsidR="001C3E7D">
        <w:t xml:space="preserve"> show</w:t>
      </w:r>
      <w:r>
        <w:t xml:space="preserve"> the number of NCRs </w:t>
      </w:r>
      <w:r w:rsidR="00642D05">
        <w:t>for each</w:t>
      </w:r>
      <w:r>
        <w:t xml:space="preserve"> traveler</w:t>
      </w:r>
      <w:r w:rsidR="001C3E7D">
        <w:t>, with the travelers organized by different standards</w:t>
      </w:r>
      <w:r>
        <w:t xml:space="preserve">. </w:t>
      </w:r>
    </w:p>
    <w:p w14:paraId="5B68DA6B" w14:textId="77777777" w:rsidR="0058755A" w:rsidRDefault="00424202" w:rsidP="00424202">
      <w:pPr>
        <w:jc w:val="center"/>
      </w:pPr>
      <w:r>
        <w:rPr>
          <w:noProof/>
          <w:lang w:eastAsia="en-US"/>
        </w:rPr>
        <w:drawing>
          <wp:inline distT="0" distB="0" distL="0" distR="0" wp14:anchorId="7EC86093" wp14:editId="682DD386">
            <wp:extent cx="5943600" cy="33566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0159C" w14:textId="77777777" w:rsidR="0058755A" w:rsidRDefault="0058755A" w:rsidP="003F25FF">
      <w:pPr>
        <w:jc w:val="center"/>
      </w:pPr>
      <w:r>
        <w:t xml:space="preserve">Figure 1. Number of NCRs generated by L2PRD travelers, organized by </w:t>
      </w:r>
      <w:r w:rsidR="00FB1063">
        <w:t xml:space="preserve">traveler </w:t>
      </w:r>
      <w:r>
        <w:t>name, from A to Z</w:t>
      </w:r>
    </w:p>
    <w:p w14:paraId="1299DA3D" w14:textId="77777777" w:rsidR="0058755A" w:rsidRDefault="00543780" w:rsidP="00543780">
      <w:pPr>
        <w:jc w:val="center"/>
      </w:pPr>
      <w:r>
        <w:rPr>
          <w:noProof/>
          <w:lang w:eastAsia="en-US"/>
        </w:rPr>
        <w:drawing>
          <wp:inline distT="0" distB="0" distL="0" distR="0" wp14:anchorId="411899B7" wp14:editId="67CDD9BE">
            <wp:extent cx="5943600" cy="33337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62476" w14:textId="77777777" w:rsidR="0058755A" w:rsidRDefault="0058755A" w:rsidP="003F25FF">
      <w:pPr>
        <w:jc w:val="both"/>
      </w:pPr>
      <w:r>
        <w:lastRenderedPageBreak/>
        <w:t>Figure 2. Number of NCRs generated by L2PRD travelers, organized by number of NCRs, from largest to smallest</w:t>
      </w:r>
    </w:p>
    <w:p w14:paraId="0AC19597" w14:textId="77777777" w:rsidR="0058755A" w:rsidRDefault="00986E54">
      <w:r>
        <w:t xml:space="preserve">Table 1 shows </w:t>
      </w:r>
      <w:r w:rsidR="002D5714">
        <w:t xml:space="preserve">the NCR summary for </w:t>
      </w:r>
      <w:r>
        <w:t>components with more than 100 NCRs generated</w:t>
      </w:r>
      <w:r w:rsidR="00A23967">
        <w:t xml:space="preserve">, e.g. the first 5 travelers </w:t>
      </w:r>
      <w:r w:rsidR="002D5714">
        <w:t xml:space="preserve">from the left </w:t>
      </w:r>
      <w:r w:rsidR="00A23967">
        <w:t>in Figure 2</w:t>
      </w:r>
      <w:r>
        <w:t>.</w:t>
      </w:r>
      <w:r w:rsidR="00A23967">
        <w:t xml:space="preserve"> Considering some components have very similar structure and function, such as: short beamline bellows and production beamline bellows, HOM feedthrough and field probe feedthrough, they are grouped together in Table 1.</w:t>
      </w:r>
      <w:r w:rsidR="002D5714">
        <w:t xml:space="preserve"> The types of defects for some of the components are summarized in Figure 3-6.</w:t>
      </w:r>
    </w:p>
    <w:p w14:paraId="3F9489B6" w14:textId="77777777" w:rsidR="006C66ED" w:rsidRDefault="006C66ED" w:rsidP="003F25FF">
      <w:pPr>
        <w:jc w:val="center"/>
      </w:pPr>
      <w:r>
        <w:t>Table 1. NCR summary for selected components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6C66ED" w14:paraId="01641741" w14:textId="77777777" w:rsidTr="006C66ED">
        <w:tc>
          <w:tcPr>
            <w:tcW w:w="2337" w:type="dxa"/>
          </w:tcPr>
          <w:p w14:paraId="4073EC60" w14:textId="77777777" w:rsidR="006C66ED" w:rsidRPr="006C66ED" w:rsidRDefault="006C66ED" w:rsidP="006C66ED">
            <w:pPr>
              <w:rPr>
                <w:b/>
              </w:rPr>
            </w:pPr>
            <w:r w:rsidRPr="006C66ED">
              <w:rPr>
                <w:b/>
              </w:rPr>
              <w:t>Component name</w:t>
            </w:r>
          </w:p>
        </w:tc>
        <w:tc>
          <w:tcPr>
            <w:tcW w:w="2338" w:type="dxa"/>
          </w:tcPr>
          <w:p w14:paraId="3A3FEFE0" w14:textId="77777777" w:rsidR="006C66ED" w:rsidRPr="006C66ED" w:rsidRDefault="006C66ED" w:rsidP="006C66ED">
            <w:pPr>
              <w:rPr>
                <w:b/>
              </w:rPr>
            </w:pPr>
            <w:r w:rsidRPr="006C66ED">
              <w:rPr>
                <w:b/>
              </w:rPr>
              <w:t>Number of NCRs</w:t>
            </w:r>
          </w:p>
        </w:tc>
        <w:tc>
          <w:tcPr>
            <w:tcW w:w="2337" w:type="dxa"/>
          </w:tcPr>
          <w:p w14:paraId="41E2256A" w14:textId="77777777" w:rsidR="006C66ED" w:rsidRPr="006C66ED" w:rsidRDefault="006C66ED" w:rsidP="006C66ED">
            <w:pPr>
              <w:rPr>
                <w:b/>
              </w:rPr>
            </w:pPr>
            <w:r w:rsidRPr="006C66ED">
              <w:rPr>
                <w:b/>
              </w:rPr>
              <w:t>Process</w:t>
            </w:r>
          </w:p>
        </w:tc>
        <w:tc>
          <w:tcPr>
            <w:tcW w:w="2338" w:type="dxa"/>
          </w:tcPr>
          <w:p w14:paraId="1BC22076" w14:textId="77777777" w:rsidR="006C66ED" w:rsidRPr="006C66ED" w:rsidRDefault="006C66ED" w:rsidP="006C66ED">
            <w:pPr>
              <w:rPr>
                <w:b/>
              </w:rPr>
            </w:pPr>
            <w:r w:rsidRPr="006C66ED">
              <w:rPr>
                <w:b/>
              </w:rPr>
              <w:t>Types of defects</w:t>
            </w:r>
          </w:p>
        </w:tc>
      </w:tr>
      <w:tr w:rsidR="006C66ED" w14:paraId="46495E88" w14:textId="77777777" w:rsidTr="006C66ED">
        <w:tc>
          <w:tcPr>
            <w:tcW w:w="2337" w:type="dxa"/>
          </w:tcPr>
          <w:p w14:paraId="77DCB78E" w14:textId="77777777" w:rsidR="006C66ED" w:rsidRDefault="006C66ED" w:rsidP="006C66ED">
            <w:r>
              <w:t>Beamline bellows (BLBP,BLBS)</w:t>
            </w:r>
          </w:p>
        </w:tc>
        <w:tc>
          <w:tcPr>
            <w:tcW w:w="2338" w:type="dxa"/>
          </w:tcPr>
          <w:p w14:paraId="697AC376" w14:textId="77777777" w:rsidR="006C66ED" w:rsidRDefault="006C66ED" w:rsidP="006C66ED">
            <w:r>
              <w:t>526</w:t>
            </w:r>
          </w:p>
        </w:tc>
        <w:tc>
          <w:tcPr>
            <w:tcW w:w="2337" w:type="dxa"/>
          </w:tcPr>
          <w:p w14:paraId="25A97B6E" w14:textId="77777777" w:rsidR="006C66ED" w:rsidRDefault="006C66ED" w:rsidP="006C66ED">
            <w:r>
              <w:t>Inspection</w:t>
            </w:r>
          </w:p>
        </w:tc>
        <w:tc>
          <w:tcPr>
            <w:tcW w:w="2338" w:type="dxa"/>
          </w:tcPr>
          <w:p w14:paraId="71F10493" w14:textId="77777777" w:rsidR="006C66ED" w:rsidRDefault="006C66ED" w:rsidP="006C66ED">
            <w:r>
              <w:t>See Figure 3</w:t>
            </w:r>
          </w:p>
        </w:tc>
      </w:tr>
      <w:tr w:rsidR="006C66ED" w14:paraId="1026A72D" w14:textId="77777777" w:rsidTr="006C66ED">
        <w:tc>
          <w:tcPr>
            <w:tcW w:w="2337" w:type="dxa"/>
          </w:tcPr>
          <w:p w14:paraId="07BC6D3D" w14:textId="77777777" w:rsidR="006C66ED" w:rsidRDefault="006C66ED" w:rsidP="006C66ED">
            <w:r>
              <w:t>Cavity</w:t>
            </w:r>
          </w:p>
        </w:tc>
        <w:tc>
          <w:tcPr>
            <w:tcW w:w="2338" w:type="dxa"/>
          </w:tcPr>
          <w:p w14:paraId="62B76ADD" w14:textId="77777777" w:rsidR="006C66ED" w:rsidRDefault="006C66ED" w:rsidP="006C66ED">
            <w:r>
              <w:t>445</w:t>
            </w:r>
          </w:p>
        </w:tc>
        <w:tc>
          <w:tcPr>
            <w:tcW w:w="2337" w:type="dxa"/>
          </w:tcPr>
          <w:p w14:paraId="318B98D9" w14:textId="77777777" w:rsidR="006C66ED" w:rsidRDefault="006C66ED" w:rsidP="006C66ED">
            <w:r>
              <w:t>VTRF</w:t>
            </w:r>
          </w:p>
        </w:tc>
        <w:tc>
          <w:tcPr>
            <w:tcW w:w="2338" w:type="dxa"/>
          </w:tcPr>
          <w:p w14:paraId="53737A46" w14:textId="77777777" w:rsidR="006C66ED" w:rsidRDefault="006C66ED" w:rsidP="006C66ED">
            <w:r>
              <w:t>Q0,FE,Eacc,Qext2,Qhom,Vacuum,Frequency,KLorenze</w:t>
            </w:r>
          </w:p>
        </w:tc>
      </w:tr>
      <w:tr w:rsidR="006C66ED" w14:paraId="5C2C0480" w14:textId="77777777" w:rsidTr="006C66ED">
        <w:tc>
          <w:tcPr>
            <w:tcW w:w="2337" w:type="dxa"/>
          </w:tcPr>
          <w:p w14:paraId="35E8115C" w14:textId="77777777" w:rsidR="006C66ED" w:rsidRDefault="006C66ED" w:rsidP="006C66ED">
            <w:r>
              <w:t>Feedthrough (HMFT,FPFT)</w:t>
            </w:r>
          </w:p>
        </w:tc>
        <w:tc>
          <w:tcPr>
            <w:tcW w:w="2338" w:type="dxa"/>
          </w:tcPr>
          <w:p w14:paraId="22EED01D" w14:textId="77777777" w:rsidR="006C66ED" w:rsidRDefault="006C66ED" w:rsidP="006C66ED">
            <w:r>
              <w:t>254</w:t>
            </w:r>
          </w:p>
        </w:tc>
        <w:tc>
          <w:tcPr>
            <w:tcW w:w="2337" w:type="dxa"/>
          </w:tcPr>
          <w:p w14:paraId="3EB2AC45" w14:textId="77777777" w:rsidR="006C66ED" w:rsidRDefault="006C66ED" w:rsidP="006C66ED">
            <w:r>
              <w:t>Inspection</w:t>
            </w:r>
          </w:p>
        </w:tc>
        <w:tc>
          <w:tcPr>
            <w:tcW w:w="2338" w:type="dxa"/>
          </w:tcPr>
          <w:p w14:paraId="6787B4B2" w14:textId="77777777" w:rsidR="006C66ED" w:rsidRDefault="006C66ED" w:rsidP="006C66ED">
            <w:r>
              <w:t>See Figure 4</w:t>
            </w:r>
          </w:p>
        </w:tc>
      </w:tr>
      <w:tr w:rsidR="006C66ED" w14:paraId="39857AF7" w14:textId="77777777" w:rsidTr="006C66ED">
        <w:tc>
          <w:tcPr>
            <w:tcW w:w="2337" w:type="dxa"/>
          </w:tcPr>
          <w:p w14:paraId="1FB59BA9" w14:textId="77777777" w:rsidR="006C66ED" w:rsidRDefault="006C66ED" w:rsidP="006C66ED">
            <w:r>
              <w:t>Cavity</w:t>
            </w:r>
          </w:p>
        </w:tc>
        <w:tc>
          <w:tcPr>
            <w:tcW w:w="2338" w:type="dxa"/>
          </w:tcPr>
          <w:p w14:paraId="15217139" w14:textId="77777777" w:rsidR="006C66ED" w:rsidRDefault="006C66ED" w:rsidP="006C66ED">
            <w:r>
              <w:t>152</w:t>
            </w:r>
          </w:p>
        </w:tc>
        <w:tc>
          <w:tcPr>
            <w:tcW w:w="2337" w:type="dxa"/>
          </w:tcPr>
          <w:p w14:paraId="3F014E7B" w14:textId="77777777" w:rsidR="006C66ED" w:rsidRDefault="006C66ED" w:rsidP="006C66ED">
            <w:r>
              <w:t>Inspection</w:t>
            </w:r>
          </w:p>
        </w:tc>
        <w:tc>
          <w:tcPr>
            <w:tcW w:w="2338" w:type="dxa"/>
          </w:tcPr>
          <w:p w14:paraId="302C960F" w14:textId="77777777" w:rsidR="006C66ED" w:rsidRDefault="006C66ED" w:rsidP="006C66ED">
            <w:r>
              <w:t>See Figure 5</w:t>
            </w:r>
          </w:p>
        </w:tc>
      </w:tr>
      <w:tr w:rsidR="006C66ED" w14:paraId="707091E0" w14:textId="77777777" w:rsidTr="006C66ED">
        <w:tc>
          <w:tcPr>
            <w:tcW w:w="2337" w:type="dxa"/>
          </w:tcPr>
          <w:p w14:paraId="50CB3470" w14:textId="77777777" w:rsidR="006C66ED" w:rsidRDefault="006C66ED" w:rsidP="006C66ED">
            <w:r>
              <w:t>Long spool (BLXD)</w:t>
            </w:r>
          </w:p>
        </w:tc>
        <w:tc>
          <w:tcPr>
            <w:tcW w:w="2338" w:type="dxa"/>
          </w:tcPr>
          <w:p w14:paraId="1EA79D4F" w14:textId="77777777" w:rsidR="006C66ED" w:rsidRDefault="006C66ED" w:rsidP="006C66ED">
            <w:r>
              <w:t>101</w:t>
            </w:r>
          </w:p>
        </w:tc>
        <w:tc>
          <w:tcPr>
            <w:tcW w:w="2337" w:type="dxa"/>
          </w:tcPr>
          <w:p w14:paraId="1F4A9367" w14:textId="77777777" w:rsidR="006C66ED" w:rsidRDefault="006C66ED" w:rsidP="006C66ED">
            <w:r>
              <w:t>Inspection</w:t>
            </w:r>
          </w:p>
        </w:tc>
        <w:tc>
          <w:tcPr>
            <w:tcW w:w="2338" w:type="dxa"/>
          </w:tcPr>
          <w:p w14:paraId="0B0596A3" w14:textId="77777777" w:rsidR="006C66ED" w:rsidRDefault="006C66ED" w:rsidP="006C66ED">
            <w:r>
              <w:t>See Figure 6</w:t>
            </w:r>
          </w:p>
        </w:tc>
      </w:tr>
    </w:tbl>
    <w:p w14:paraId="29993417" w14:textId="77777777" w:rsidR="00986E54" w:rsidRDefault="00986E54"/>
    <w:p w14:paraId="7570179D" w14:textId="77777777" w:rsidR="00986E54" w:rsidRDefault="00B4473E" w:rsidP="003F25FF">
      <w:pPr>
        <w:jc w:val="center"/>
      </w:pPr>
      <w:r>
        <w:rPr>
          <w:noProof/>
          <w:lang w:eastAsia="en-US"/>
        </w:rPr>
        <w:drawing>
          <wp:inline distT="0" distB="0" distL="0" distR="0" wp14:anchorId="5F274D2D" wp14:editId="01C89A8F">
            <wp:extent cx="4572000" cy="27432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846EA41" w14:textId="77777777" w:rsidR="00B4473E" w:rsidRDefault="00B4473E" w:rsidP="003F25FF">
      <w:pPr>
        <w:jc w:val="center"/>
      </w:pPr>
      <w:r>
        <w:t>Figure 3. NCR types in beamline bellows inspection, short (BLBS) and regular (BLBP)</w:t>
      </w:r>
    </w:p>
    <w:p w14:paraId="0395A226" w14:textId="77777777" w:rsidR="00986E54" w:rsidRDefault="00B4473E" w:rsidP="003F25FF">
      <w:pPr>
        <w:jc w:val="center"/>
      </w:pPr>
      <w:r>
        <w:rPr>
          <w:noProof/>
          <w:lang w:eastAsia="en-US"/>
        </w:rPr>
        <w:lastRenderedPageBreak/>
        <w:drawing>
          <wp:inline distT="0" distB="0" distL="0" distR="0" wp14:anchorId="07DDFFF3" wp14:editId="6AB0AFE5">
            <wp:extent cx="4572000" cy="27432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E7A39D0" w14:textId="77777777" w:rsidR="00B4473E" w:rsidRDefault="00B4473E" w:rsidP="003F25FF">
      <w:pPr>
        <w:jc w:val="both"/>
      </w:pPr>
      <w:r>
        <w:t xml:space="preserve">Figure 4. NCR types in cavity feedthrough inspection, HOM </w:t>
      </w:r>
      <w:r w:rsidR="00201628">
        <w:t xml:space="preserve">probe </w:t>
      </w:r>
      <w:r>
        <w:t>feedthrough and field probe feedthrough</w:t>
      </w:r>
    </w:p>
    <w:p w14:paraId="5208A845" w14:textId="77777777" w:rsidR="00B4473E" w:rsidRDefault="00B4473E" w:rsidP="003F25FF">
      <w:pPr>
        <w:jc w:val="center"/>
      </w:pPr>
      <w:r>
        <w:rPr>
          <w:noProof/>
          <w:lang w:eastAsia="en-US"/>
        </w:rPr>
        <w:drawing>
          <wp:inline distT="0" distB="0" distL="0" distR="0" wp14:anchorId="1758D1E1" wp14:editId="45786C4B">
            <wp:extent cx="4572000" cy="274320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12C3263" w14:textId="77777777" w:rsidR="00B4473E" w:rsidRDefault="00B4473E" w:rsidP="003F25FF">
      <w:pPr>
        <w:jc w:val="center"/>
      </w:pPr>
      <w:r>
        <w:t>Figure 5. NCR types in cavity inspection</w:t>
      </w:r>
    </w:p>
    <w:p w14:paraId="0795D935" w14:textId="77777777" w:rsidR="00B4473E" w:rsidRDefault="00B4473E" w:rsidP="003F25FF">
      <w:pPr>
        <w:jc w:val="center"/>
      </w:pPr>
      <w:r>
        <w:rPr>
          <w:noProof/>
          <w:lang w:eastAsia="en-US"/>
        </w:rPr>
        <w:lastRenderedPageBreak/>
        <w:drawing>
          <wp:inline distT="0" distB="0" distL="0" distR="0" wp14:anchorId="37DF64FE" wp14:editId="103245C2">
            <wp:extent cx="4572000" cy="2743200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ABA868C" w14:textId="77777777" w:rsidR="00B4473E" w:rsidRDefault="00B4473E" w:rsidP="003F25FF">
      <w:pPr>
        <w:jc w:val="center"/>
      </w:pPr>
      <w:r>
        <w:t xml:space="preserve">Figure </w:t>
      </w:r>
      <w:r w:rsidR="00580DF7">
        <w:t>6</w:t>
      </w:r>
      <w:r>
        <w:t>. NCR types in long spool inspection</w:t>
      </w:r>
    </w:p>
    <w:p w14:paraId="00C8567F" w14:textId="77777777" w:rsidR="00580DF7" w:rsidRDefault="00E62683">
      <w:r>
        <w:t>There are 22 check boxes (</w:t>
      </w:r>
      <w:r w:rsidR="005A20B4">
        <w:t>equivalent to</w:t>
      </w:r>
      <w:r>
        <w:t xml:space="preserve"> type</w:t>
      </w:r>
      <w:r w:rsidR="005A20B4">
        <w:t xml:space="preserve"> of defect</w:t>
      </w:r>
      <w:r>
        <w:t>s</w:t>
      </w:r>
      <w:r w:rsidR="00262FF5">
        <w:t>, classification</w:t>
      </w:r>
      <w:r w:rsidR="005A20B4">
        <w:t>,</w:t>
      </w:r>
      <w:r>
        <w:t xml:space="preserve"> </w:t>
      </w:r>
      <w:r w:rsidR="005A20B4">
        <w:t>and</w:t>
      </w:r>
      <w:r>
        <w:t xml:space="preserve"> categories in this re</w:t>
      </w:r>
      <w:r w:rsidR="00262FF5">
        <w:t>search</w:t>
      </w:r>
      <w:r>
        <w:t>) in the L2PRD NCR traveler:</w:t>
      </w:r>
    </w:p>
    <w:p w14:paraId="20AAEB01" w14:textId="77777777" w:rsidR="00E62683" w:rsidRDefault="00E62683" w:rsidP="008F544A">
      <w:pPr>
        <w:pStyle w:val="ListParagraph"/>
        <w:numPr>
          <w:ilvl w:val="0"/>
          <w:numId w:val="1"/>
        </w:numPr>
      </w:pPr>
      <w:r>
        <w:t>[1] Shipping Damage;</w:t>
      </w:r>
    </w:p>
    <w:p w14:paraId="580646ED" w14:textId="77777777" w:rsidR="00E62683" w:rsidRDefault="00E62683" w:rsidP="008F544A">
      <w:pPr>
        <w:pStyle w:val="ListParagraph"/>
        <w:numPr>
          <w:ilvl w:val="0"/>
          <w:numId w:val="1"/>
        </w:numPr>
      </w:pPr>
      <w:r>
        <w:t>[2] Dimensional;</w:t>
      </w:r>
    </w:p>
    <w:p w14:paraId="03DBD4F8" w14:textId="77777777" w:rsidR="00E62683" w:rsidRDefault="00E62683" w:rsidP="008F544A">
      <w:pPr>
        <w:pStyle w:val="ListParagraph"/>
        <w:numPr>
          <w:ilvl w:val="0"/>
          <w:numId w:val="1"/>
        </w:numPr>
      </w:pPr>
      <w:r>
        <w:t>Surface Form: [3] Roughness, [4] Flatness, [5] Parallelism;</w:t>
      </w:r>
    </w:p>
    <w:p w14:paraId="2385E83D" w14:textId="77777777" w:rsidR="00E62683" w:rsidRDefault="00E62683" w:rsidP="008F544A">
      <w:pPr>
        <w:pStyle w:val="ListParagraph"/>
        <w:numPr>
          <w:ilvl w:val="0"/>
          <w:numId w:val="1"/>
        </w:numPr>
      </w:pPr>
      <w:r>
        <w:t>Surface Damage: [6] Scratches, [7] Dings, [8] Delamination, [9] Plating;</w:t>
      </w:r>
    </w:p>
    <w:p w14:paraId="632B4433" w14:textId="77777777" w:rsidR="00E62683" w:rsidRDefault="00E62683" w:rsidP="008F544A">
      <w:pPr>
        <w:pStyle w:val="ListParagraph"/>
        <w:numPr>
          <w:ilvl w:val="0"/>
          <w:numId w:val="1"/>
        </w:numPr>
      </w:pPr>
      <w:r>
        <w:t>Surface contamination: [10] Stains, [11] Oxidation, [12] Residues;</w:t>
      </w:r>
    </w:p>
    <w:p w14:paraId="0DE442C7" w14:textId="77777777" w:rsidR="00E62683" w:rsidRDefault="00E62683" w:rsidP="008F544A">
      <w:pPr>
        <w:pStyle w:val="ListParagraph"/>
        <w:numPr>
          <w:ilvl w:val="0"/>
          <w:numId w:val="1"/>
        </w:numPr>
      </w:pPr>
      <w:r>
        <w:t>RF Components: [13] Inspection Failure, [14] RF Test Failure, [15] Leak Test Failure;</w:t>
      </w:r>
    </w:p>
    <w:p w14:paraId="08E29580" w14:textId="77777777" w:rsidR="00E62683" w:rsidRDefault="00E62683" w:rsidP="008F544A">
      <w:pPr>
        <w:pStyle w:val="ListParagraph"/>
        <w:numPr>
          <w:ilvl w:val="0"/>
          <w:numId w:val="1"/>
        </w:numPr>
      </w:pPr>
      <w:r>
        <w:t>[16] CMTF RF Performance;</w:t>
      </w:r>
    </w:p>
    <w:p w14:paraId="778E14BB" w14:textId="77777777" w:rsidR="00E62683" w:rsidRDefault="00E62683" w:rsidP="008F544A">
      <w:pPr>
        <w:pStyle w:val="ListParagraph"/>
        <w:numPr>
          <w:ilvl w:val="0"/>
          <w:numId w:val="1"/>
        </w:numPr>
      </w:pPr>
      <w:r>
        <w:t>[17] VTA RF Performance;</w:t>
      </w:r>
    </w:p>
    <w:p w14:paraId="20BE43D8" w14:textId="77777777" w:rsidR="00E62683" w:rsidRDefault="00E62683" w:rsidP="008F544A">
      <w:pPr>
        <w:pStyle w:val="ListParagraph"/>
        <w:numPr>
          <w:ilvl w:val="0"/>
          <w:numId w:val="1"/>
        </w:numPr>
      </w:pPr>
      <w:r>
        <w:t>Cryomodule: [18] Vacuum, [19] RF, [20] Instrumentation, [21] Mechanical;</w:t>
      </w:r>
    </w:p>
    <w:p w14:paraId="3E3D7D53" w14:textId="77777777" w:rsidR="00E62683" w:rsidRDefault="00E62683" w:rsidP="008F544A">
      <w:pPr>
        <w:pStyle w:val="ListParagraph"/>
        <w:numPr>
          <w:ilvl w:val="0"/>
          <w:numId w:val="1"/>
        </w:numPr>
      </w:pPr>
      <w:r>
        <w:t>[22] Other.</w:t>
      </w:r>
    </w:p>
    <w:p w14:paraId="57FDBA68" w14:textId="77777777" w:rsidR="00E62683" w:rsidRDefault="00E62683" w:rsidP="00E62683">
      <w:commentRangeStart w:id="0"/>
      <w:r w:rsidRPr="00AE7391">
        <w:rPr>
          <w:highlight w:val="yellow"/>
        </w:rPr>
        <w:t xml:space="preserve">They seem to be organized according to some </w:t>
      </w:r>
      <w:r w:rsidR="005A3C16" w:rsidRPr="00AE7391">
        <w:rPr>
          <w:highlight w:val="yellow"/>
        </w:rPr>
        <w:t>general guideline</w:t>
      </w:r>
      <w:r w:rsidR="00262FF5" w:rsidRPr="00AE7391">
        <w:rPr>
          <w:highlight w:val="yellow"/>
        </w:rPr>
        <w:t xml:space="preserve"> in the LCLS-II NCR traveler</w:t>
      </w:r>
      <w:r w:rsidRPr="00AE7391">
        <w:rPr>
          <w:highlight w:val="yellow"/>
        </w:rPr>
        <w:t xml:space="preserve">, but it is not very clearly defined if each category applies to all components or certain component. </w:t>
      </w:r>
      <w:r w:rsidR="005A20B4" w:rsidRPr="00AE7391">
        <w:rPr>
          <w:highlight w:val="yellow"/>
        </w:rPr>
        <w:t>I</w:t>
      </w:r>
      <w:r w:rsidR="00262FF5" w:rsidRPr="00AE7391">
        <w:rPr>
          <w:highlight w:val="yellow"/>
        </w:rPr>
        <w:t>t is up to each user to assign one or more categories for each NCR.</w:t>
      </w:r>
      <w:r w:rsidR="00262FF5">
        <w:t xml:space="preserve"> </w:t>
      </w:r>
      <w:commentRangeEnd w:id="0"/>
      <w:r w:rsidR="00AE7391">
        <w:rPr>
          <w:rStyle w:val="CommentReference"/>
        </w:rPr>
        <w:commentReference w:id="0"/>
      </w:r>
      <w:r>
        <w:t>Among the</w:t>
      </w:r>
      <w:r w:rsidR="00262FF5">
        <w:t xml:space="preserve"> 22 categories</w:t>
      </w:r>
      <w:r>
        <w:t xml:space="preserve">, </w:t>
      </w:r>
      <w:r w:rsidRPr="00AE7391">
        <w:rPr>
          <w:highlight w:val="green"/>
        </w:rPr>
        <w:t>D</w:t>
      </w:r>
      <w:r w:rsidR="00262FF5" w:rsidRPr="00AE7391">
        <w:rPr>
          <w:highlight w:val="green"/>
        </w:rPr>
        <w:t>ELAMINATION</w:t>
      </w:r>
      <w:r w:rsidRPr="00AE7391">
        <w:rPr>
          <w:highlight w:val="green"/>
        </w:rPr>
        <w:t xml:space="preserve"> [8] was never used</w:t>
      </w:r>
      <w:r>
        <w:t>.</w:t>
      </w:r>
      <w:r w:rsidR="005A20B4">
        <w:t xml:space="preserve"> Figure 7 shows the number of NCRs for each category. Figure 8 shows an overall view of the classification breakdown for each traveler.</w:t>
      </w:r>
    </w:p>
    <w:p w14:paraId="3BE51F25" w14:textId="77777777" w:rsidR="00262FF5" w:rsidRDefault="00262FF5" w:rsidP="00262FF5">
      <w:pPr>
        <w:jc w:val="center"/>
      </w:pPr>
      <w:r>
        <w:rPr>
          <w:noProof/>
          <w:lang w:eastAsia="en-US"/>
        </w:rPr>
        <w:lastRenderedPageBreak/>
        <w:drawing>
          <wp:inline distT="0" distB="0" distL="0" distR="0" wp14:anchorId="73AAE303" wp14:editId="7DD3EB7D">
            <wp:extent cx="5943600" cy="3218352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8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88F7A" w14:textId="77777777" w:rsidR="00262FF5" w:rsidRDefault="00262FF5" w:rsidP="00262FF5">
      <w:pPr>
        <w:jc w:val="center"/>
      </w:pPr>
      <w:r>
        <w:t>Figure 7. Number of NCRs for each category for LCLS-II</w:t>
      </w:r>
    </w:p>
    <w:p w14:paraId="77D52EA2" w14:textId="77777777" w:rsidR="00262FF5" w:rsidRDefault="00262FF5" w:rsidP="00262FF5">
      <w:pPr>
        <w:jc w:val="center"/>
      </w:pPr>
      <w:r>
        <w:rPr>
          <w:noProof/>
          <w:lang w:eastAsia="en-US"/>
        </w:rPr>
        <w:drawing>
          <wp:inline distT="0" distB="0" distL="0" distR="0" wp14:anchorId="45FE0EEC" wp14:editId="3E8F5EF5">
            <wp:extent cx="5943600" cy="374378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AEB98" w14:textId="77777777" w:rsidR="00262FF5" w:rsidRDefault="00262FF5" w:rsidP="005A20B4">
      <w:pPr>
        <w:jc w:val="center"/>
      </w:pPr>
      <w:r>
        <w:t xml:space="preserve">Figure 8. </w:t>
      </w:r>
      <w:r w:rsidR="005A20B4">
        <w:t>Overall view of number of NCRs for each LCLS-II traveler with classification breakdown</w:t>
      </w:r>
    </w:p>
    <w:p w14:paraId="48DD120A" w14:textId="77777777" w:rsidR="005A20B4" w:rsidRPr="003F25FF" w:rsidRDefault="005A20B4" w:rsidP="005A20B4">
      <w:pPr>
        <w:rPr>
          <w:b/>
        </w:rPr>
      </w:pPr>
      <w:r w:rsidRPr="003F25FF">
        <w:rPr>
          <w:b/>
        </w:rPr>
        <w:t xml:space="preserve">2. </w:t>
      </w:r>
      <w:r>
        <w:rPr>
          <w:b/>
        </w:rPr>
        <w:t xml:space="preserve">Zooming in on </w:t>
      </w:r>
      <w:r w:rsidRPr="003F25FF">
        <w:rPr>
          <w:b/>
        </w:rPr>
        <w:t>“O</w:t>
      </w:r>
      <w:r>
        <w:rPr>
          <w:b/>
        </w:rPr>
        <w:t>THER</w:t>
      </w:r>
      <w:r w:rsidRPr="003F25FF">
        <w:rPr>
          <w:b/>
        </w:rPr>
        <w:t xml:space="preserve">” category in </w:t>
      </w:r>
      <w:r>
        <w:rPr>
          <w:b/>
        </w:rPr>
        <w:t xml:space="preserve">LCLS-II </w:t>
      </w:r>
      <w:r w:rsidRPr="003F25FF">
        <w:rPr>
          <w:b/>
        </w:rPr>
        <w:t>NCR</w:t>
      </w:r>
      <w:r>
        <w:rPr>
          <w:b/>
        </w:rPr>
        <w:t>s</w:t>
      </w:r>
    </w:p>
    <w:p w14:paraId="6409F215" w14:textId="77777777" w:rsidR="00E62683" w:rsidRDefault="00E62683" w:rsidP="00E62683">
      <w:r>
        <w:lastRenderedPageBreak/>
        <w:t xml:space="preserve">There are 191 NCRs </w:t>
      </w:r>
      <w:r w:rsidR="00CE4BF3">
        <w:t>with</w:t>
      </w:r>
      <w:r>
        <w:t xml:space="preserve"> “Other” category</w:t>
      </w:r>
      <w:r w:rsidR="00CE4BF3">
        <w:t xml:space="preserve"> selected</w:t>
      </w:r>
      <w:r>
        <w:t xml:space="preserve">. Table </w:t>
      </w:r>
      <w:r w:rsidR="00A1627A">
        <w:t xml:space="preserve">2 shows more details of the component, number of NCR </w:t>
      </w:r>
      <w:r w:rsidR="00CE4BF3">
        <w:t xml:space="preserve">associated </w:t>
      </w:r>
      <w:r w:rsidR="00A1627A">
        <w:t xml:space="preserve">with “Other” category, </w:t>
      </w:r>
      <w:r w:rsidR="00CE4BF3">
        <w:t xml:space="preserve">the </w:t>
      </w:r>
      <w:r w:rsidR="00A1627A">
        <w:t>process prompting the NCR, and description of the issue that is not co</w:t>
      </w:r>
      <w:r w:rsidR="00CE4BF3">
        <w:t>vered in existing NCR category.</w:t>
      </w:r>
    </w:p>
    <w:p w14:paraId="6C98F168" w14:textId="77777777" w:rsidR="00A1627A" w:rsidRDefault="00614152" w:rsidP="003F25FF">
      <w:pPr>
        <w:jc w:val="center"/>
      </w:pPr>
      <w:r>
        <w:t>Table 2. Summary of NCRs with “Other” category selected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1"/>
        <w:gridCol w:w="1711"/>
        <w:gridCol w:w="1766"/>
        <w:gridCol w:w="1707"/>
        <w:gridCol w:w="2435"/>
      </w:tblGrid>
      <w:tr w:rsidR="00614152" w14:paraId="6662E556" w14:textId="77777777" w:rsidTr="002574BA">
        <w:tc>
          <w:tcPr>
            <w:tcW w:w="1731" w:type="dxa"/>
            <w:vAlign w:val="bottom"/>
          </w:tcPr>
          <w:p w14:paraId="4272248F" w14:textId="77777777" w:rsidR="00614152" w:rsidRDefault="00614152" w:rsidP="002574B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Part</w:t>
            </w:r>
          </w:p>
        </w:tc>
        <w:tc>
          <w:tcPr>
            <w:tcW w:w="1711" w:type="dxa"/>
            <w:vAlign w:val="bottom"/>
          </w:tcPr>
          <w:p w14:paraId="2FF14C81" w14:textId="77777777" w:rsidR="00614152" w:rsidRDefault="00614152" w:rsidP="002574B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Count</w:t>
            </w:r>
          </w:p>
        </w:tc>
        <w:tc>
          <w:tcPr>
            <w:tcW w:w="1766" w:type="dxa"/>
            <w:vAlign w:val="bottom"/>
          </w:tcPr>
          <w:p w14:paraId="5710C070" w14:textId="77777777" w:rsidR="00614152" w:rsidRDefault="00614152" w:rsidP="002574B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Process</w:t>
            </w:r>
          </w:p>
        </w:tc>
        <w:tc>
          <w:tcPr>
            <w:tcW w:w="1707" w:type="dxa"/>
            <w:vAlign w:val="bottom"/>
          </w:tcPr>
          <w:p w14:paraId="38B35EC8" w14:textId="77777777" w:rsidR="00614152" w:rsidRDefault="00614152" w:rsidP="002574B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Sub-count</w:t>
            </w:r>
          </w:p>
        </w:tc>
        <w:tc>
          <w:tcPr>
            <w:tcW w:w="2435" w:type="dxa"/>
            <w:vAlign w:val="bottom"/>
          </w:tcPr>
          <w:p w14:paraId="5447ED2E" w14:textId="77777777" w:rsidR="00614152" w:rsidRDefault="00614152" w:rsidP="002574B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Issue</w:t>
            </w:r>
          </w:p>
        </w:tc>
      </w:tr>
      <w:tr w:rsidR="00614152" w14:paraId="4D1411A3" w14:textId="77777777" w:rsidTr="002574BA">
        <w:tc>
          <w:tcPr>
            <w:tcW w:w="1731" w:type="dxa"/>
            <w:vMerge w:val="restart"/>
            <w:vAlign w:val="bottom"/>
          </w:tcPr>
          <w:p w14:paraId="7B04F618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CAV (cavity)</w:t>
            </w:r>
          </w:p>
        </w:tc>
        <w:tc>
          <w:tcPr>
            <w:tcW w:w="1711" w:type="dxa"/>
            <w:vMerge w:val="restart"/>
            <w:vAlign w:val="bottom"/>
          </w:tcPr>
          <w:p w14:paraId="0861FF77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766" w:type="dxa"/>
            <w:vAlign w:val="bottom"/>
          </w:tcPr>
          <w:p w14:paraId="32923EBD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Inspection</w:t>
            </w:r>
          </w:p>
        </w:tc>
        <w:tc>
          <w:tcPr>
            <w:tcW w:w="1707" w:type="dxa"/>
            <w:vAlign w:val="bottom"/>
          </w:tcPr>
          <w:p w14:paraId="2F7DAF94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2435" w:type="dxa"/>
            <w:vAlign w:val="bottom"/>
          </w:tcPr>
          <w:p w14:paraId="03C58F38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Mag,</w:t>
            </w:r>
            <w:r w:rsidR="00AE2982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Torq</w:t>
            </w:r>
            <w:proofErr w:type="spellEnd"/>
            <w:r>
              <w:rPr>
                <w:rFonts w:ascii="Calibri" w:hAnsi="Calibri"/>
                <w:color w:val="000000"/>
              </w:rPr>
              <w:t>,</w:t>
            </w:r>
            <w:r w:rsidR="00AE298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Burst disk,</w:t>
            </w:r>
            <w:r w:rsidR="00AE298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RAV,</w:t>
            </w:r>
            <w:r w:rsidR="00AE2982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Config</w:t>
            </w:r>
            <w:proofErr w:type="spellEnd"/>
            <w:r>
              <w:rPr>
                <w:rFonts w:ascii="Calibri" w:hAnsi="Calibri"/>
                <w:color w:val="000000"/>
              </w:rPr>
              <w:t>,</w:t>
            </w:r>
            <w:r w:rsidR="00AE298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Bellows</w:t>
            </w:r>
          </w:p>
        </w:tc>
      </w:tr>
      <w:tr w:rsidR="00614152" w14:paraId="3312C4A0" w14:textId="77777777" w:rsidTr="002574BA">
        <w:tc>
          <w:tcPr>
            <w:tcW w:w="1731" w:type="dxa"/>
            <w:vMerge/>
            <w:vAlign w:val="bottom"/>
          </w:tcPr>
          <w:p w14:paraId="15F58032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11" w:type="dxa"/>
            <w:vMerge/>
            <w:vAlign w:val="bottom"/>
          </w:tcPr>
          <w:p w14:paraId="0643B9D0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66" w:type="dxa"/>
            <w:vAlign w:val="bottom"/>
          </w:tcPr>
          <w:p w14:paraId="6F3C0427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Receiving</w:t>
            </w:r>
          </w:p>
        </w:tc>
        <w:tc>
          <w:tcPr>
            <w:tcW w:w="1707" w:type="dxa"/>
            <w:vAlign w:val="bottom"/>
          </w:tcPr>
          <w:p w14:paraId="6C7830B8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435" w:type="dxa"/>
            <w:vAlign w:val="bottom"/>
          </w:tcPr>
          <w:p w14:paraId="59F1FA0E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Indicator</w:t>
            </w:r>
          </w:p>
        </w:tc>
      </w:tr>
      <w:tr w:rsidR="00614152" w14:paraId="2AC322FA" w14:textId="77777777" w:rsidTr="002574BA">
        <w:tc>
          <w:tcPr>
            <w:tcW w:w="1731" w:type="dxa"/>
            <w:vMerge/>
            <w:vAlign w:val="bottom"/>
          </w:tcPr>
          <w:p w14:paraId="720E0A49" w14:textId="77777777" w:rsidR="00614152" w:rsidRDefault="00614152" w:rsidP="002574BA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bottom"/>
          </w:tcPr>
          <w:p w14:paraId="1FAD7C65" w14:textId="77777777" w:rsidR="00614152" w:rsidRDefault="00614152" w:rsidP="002574BA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  <w:vAlign w:val="bottom"/>
          </w:tcPr>
          <w:p w14:paraId="5D89FB7E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VTRF</w:t>
            </w:r>
          </w:p>
        </w:tc>
        <w:tc>
          <w:tcPr>
            <w:tcW w:w="1707" w:type="dxa"/>
            <w:vAlign w:val="bottom"/>
          </w:tcPr>
          <w:p w14:paraId="1181F195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435" w:type="dxa"/>
            <w:vAlign w:val="bottom"/>
          </w:tcPr>
          <w:p w14:paraId="411DAEAE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commentRangeStart w:id="1"/>
            <w:r>
              <w:rPr>
                <w:rFonts w:ascii="Calibri" w:hAnsi="Calibri"/>
                <w:color w:val="000000"/>
              </w:rPr>
              <w:t>Qext2,</w:t>
            </w:r>
            <w:r w:rsidR="00AE2982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Emax</w:t>
            </w:r>
            <w:commentRangeEnd w:id="1"/>
            <w:proofErr w:type="spellEnd"/>
            <w:r w:rsidR="00AE7391">
              <w:rPr>
                <w:rStyle w:val="CommentReference"/>
              </w:rPr>
              <w:commentReference w:id="1"/>
            </w:r>
          </w:p>
        </w:tc>
      </w:tr>
      <w:tr w:rsidR="00614152" w14:paraId="6A4EAE40" w14:textId="77777777" w:rsidTr="002574BA">
        <w:tc>
          <w:tcPr>
            <w:tcW w:w="1731" w:type="dxa"/>
            <w:vAlign w:val="bottom"/>
          </w:tcPr>
          <w:p w14:paraId="1B219B87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BLBP (BL bellows)</w:t>
            </w:r>
          </w:p>
        </w:tc>
        <w:tc>
          <w:tcPr>
            <w:tcW w:w="1711" w:type="dxa"/>
            <w:vAlign w:val="bottom"/>
          </w:tcPr>
          <w:p w14:paraId="73584130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766" w:type="dxa"/>
            <w:vAlign w:val="bottom"/>
          </w:tcPr>
          <w:p w14:paraId="1BC9C2A7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Inspection</w:t>
            </w:r>
          </w:p>
        </w:tc>
        <w:tc>
          <w:tcPr>
            <w:tcW w:w="1707" w:type="dxa"/>
            <w:vAlign w:val="bottom"/>
          </w:tcPr>
          <w:p w14:paraId="263D5005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2435" w:type="dxa"/>
            <w:vAlign w:val="bottom"/>
          </w:tcPr>
          <w:p w14:paraId="19339102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Burr on SS,</w:t>
            </w:r>
            <w:r w:rsidR="00AE298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Mag,</w:t>
            </w:r>
            <w:r w:rsidR="00AE298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Weld,</w:t>
            </w:r>
            <w:r w:rsidR="00AE298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Blister</w:t>
            </w:r>
          </w:p>
        </w:tc>
      </w:tr>
      <w:tr w:rsidR="00614152" w14:paraId="2162B47D" w14:textId="77777777" w:rsidTr="002574BA">
        <w:tc>
          <w:tcPr>
            <w:tcW w:w="1731" w:type="dxa"/>
            <w:vAlign w:val="bottom"/>
          </w:tcPr>
          <w:p w14:paraId="677FB3C0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TUNMC (tuner)</w:t>
            </w:r>
          </w:p>
        </w:tc>
        <w:tc>
          <w:tcPr>
            <w:tcW w:w="1711" w:type="dxa"/>
            <w:vAlign w:val="bottom"/>
          </w:tcPr>
          <w:p w14:paraId="291FB92C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766" w:type="dxa"/>
            <w:vAlign w:val="bottom"/>
          </w:tcPr>
          <w:p w14:paraId="410FA074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Inspection</w:t>
            </w:r>
          </w:p>
        </w:tc>
        <w:tc>
          <w:tcPr>
            <w:tcW w:w="1707" w:type="dxa"/>
            <w:vAlign w:val="bottom"/>
          </w:tcPr>
          <w:p w14:paraId="0F8B6952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2435" w:type="dxa"/>
            <w:vAlign w:val="bottom"/>
          </w:tcPr>
          <w:p w14:paraId="725426D5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Missing item,</w:t>
            </w:r>
            <w:r w:rsidR="00AE298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Mag</w:t>
            </w:r>
          </w:p>
        </w:tc>
      </w:tr>
      <w:tr w:rsidR="00614152" w14:paraId="628C7033" w14:textId="77777777" w:rsidTr="002574BA">
        <w:tc>
          <w:tcPr>
            <w:tcW w:w="1731" w:type="dxa"/>
            <w:vMerge w:val="restart"/>
            <w:vAlign w:val="bottom"/>
          </w:tcPr>
          <w:p w14:paraId="62B2E3AB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FPC</w:t>
            </w:r>
          </w:p>
        </w:tc>
        <w:tc>
          <w:tcPr>
            <w:tcW w:w="1711" w:type="dxa"/>
            <w:vMerge w:val="restart"/>
            <w:vAlign w:val="bottom"/>
          </w:tcPr>
          <w:p w14:paraId="03D5032C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766" w:type="dxa"/>
            <w:vAlign w:val="bottom"/>
          </w:tcPr>
          <w:p w14:paraId="1DE75F9E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Inspection</w:t>
            </w:r>
          </w:p>
        </w:tc>
        <w:tc>
          <w:tcPr>
            <w:tcW w:w="1707" w:type="dxa"/>
            <w:vAlign w:val="bottom"/>
          </w:tcPr>
          <w:p w14:paraId="504BDF74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435" w:type="dxa"/>
            <w:vAlign w:val="bottom"/>
          </w:tcPr>
          <w:p w14:paraId="09C841AE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Shipping,</w:t>
            </w:r>
            <w:r w:rsidR="00AE298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Knife edge,</w:t>
            </w:r>
            <w:r w:rsidR="00AE298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Ceramic</w:t>
            </w:r>
          </w:p>
        </w:tc>
      </w:tr>
      <w:tr w:rsidR="00614152" w14:paraId="318129BB" w14:textId="77777777" w:rsidTr="002574BA">
        <w:tc>
          <w:tcPr>
            <w:tcW w:w="1731" w:type="dxa"/>
            <w:vMerge/>
            <w:vAlign w:val="bottom"/>
          </w:tcPr>
          <w:p w14:paraId="40B93303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11" w:type="dxa"/>
            <w:vMerge/>
            <w:vAlign w:val="bottom"/>
          </w:tcPr>
          <w:p w14:paraId="1BE6D5CE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66" w:type="dxa"/>
            <w:vAlign w:val="bottom"/>
          </w:tcPr>
          <w:p w14:paraId="01A4FFE7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Receiving</w:t>
            </w:r>
          </w:p>
        </w:tc>
        <w:tc>
          <w:tcPr>
            <w:tcW w:w="1707" w:type="dxa"/>
            <w:vAlign w:val="bottom"/>
          </w:tcPr>
          <w:p w14:paraId="31FA0002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435" w:type="dxa"/>
            <w:vAlign w:val="bottom"/>
          </w:tcPr>
          <w:p w14:paraId="5EDF2451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commentRangeStart w:id="2"/>
            <w:r>
              <w:rPr>
                <w:rFonts w:ascii="Calibri" w:hAnsi="Calibri"/>
                <w:color w:val="000000"/>
              </w:rPr>
              <w:t>Shipping</w:t>
            </w:r>
            <w:commentRangeEnd w:id="2"/>
            <w:r w:rsidR="00AE7391">
              <w:rPr>
                <w:rStyle w:val="CommentReference"/>
              </w:rPr>
              <w:commentReference w:id="2"/>
            </w:r>
            <w:r>
              <w:rPr>
                <w:rFonts w:ascii="Calibri" w:hAnsi="Calibri"/>
                <w:color w:val="000000"/>
              </w:rPr>
              <w:t>,</w:t>
            </w:r>
            <w:r w:rsidR="00AE298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Documentation</w:t>
            </w:r>
          </w:p>
        </w:tc>
      </w:tr>
      <w:tr w:rsidR="00614152" w14:paraId="5D8CE8DD" w14:textId="77777777" w:rsidTr="002574BA">
        <w:tc>
          <w:tcPr>
            <w:tcW w:w="1731" w:type="dxa"/>
            <w:vAlign w:val="bottom"/>
          </w:tcPr>
          <w:p w14:paraId="432AB51D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BLXD (long spool)</w:t>
            </w:r>
          </w:p>
        </w:tc>
        <w:tc>
          <w:tcPr>
            <w:tcW w:w="1711" w:type="dxa"/>
            <w:vAlign w:val="bottom"/>
          </w:tcPr>
          <w:p w14:paraId="5872ECA1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766" w:type="dxa"/>
            <w:vAlign w:val="bottom"/>
          </w:tcPr>
          <w:p w14:paraId="4BECC730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Inspection</w:t>
            </w:r>
          </w:p>
        </w:tc>
        <w:tc>
          <w:tcPr>
            <w:tcW w:w="1707" w:type="dxa"/>
            <w:vAlign w:val="bottom"/>
          </w:tcPr>
          <w:p w14:paraId="55A24917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435" w:type="dxa"/>
            <w:vAlign w:val="bottom"/>
          </w:tcPr>
          <w:p w14:paraId="4DDACA3A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Weld,</w:t>
            </w:r>
            <w:r w:rsidR="00AE298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SS defects</w:t>
            </w:r>
          </w:p>
        </w:tc>
      </w:tr>
      <w:tr w:rsidR="00614152" w14:paraId="5830EF17" w14:textId="77777777" w:rsidTr="002574BA">
        <w:tc>
          <w:tcPr>
            <w:tcW w:w="1731" w:type="dxa"/>
            <w:vAlign w:val="bottom"/>
          </w:tcPr>
          <w:p w14:paraId="01CE3F4E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IMAG (mag shield)</w:t>
            </w:r>
          </w:p>
        </w:tc>
        <w:tc>
          <w:tcPr>
            <w:tcW w:w="1711" w:type="dxa"/>
            <w:vAlign w:val="bottom"/>
          </w:tcPr>
          <w:p w14:paraId="605F3EB8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766" w:type="dxa"/>
            <w:vAlign w:val="bottom"/>
          </w:tcPr>
          <w:p w14:paraId="40F5F934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Inspection</w:t>
            </w:r>
          </w:p>
        </w:tc>
        <w:tc>
          <w:tcPr>
            <w:tcW w:w="1707" w:type="dxa"/>
            <w:vAlign w:val="bottom"/>
          </w:tcPr>
          <w:p w14:paraId="37662100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435" w:type="dxa"/>
            <w:vAlign w:val="bottom"/>
          </w:tcPr>
          <w:p w14:paraId="640CC00F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Weld seam,</w:t>
            </w:r>
            <w:r w:rsidR="00AE739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Missing caps,</w:t>
            </w:r>
            <w:r w:rsidR="00AE739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Open gap,</w:t>
            </w:r>
            <w:r w:rsidR="00AE739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Dent,</w:t>
            </w:r>
            <w:r w:rsidR="00AE739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Scratch</w:t>
            </w:r>
          </w:p>
        </w:tc>
      </w:tr>
      <w:tr w:rsidR="00614152" w14:paraId="3D2CCD6B" w14:textId="77777777" w:rsidTr="002574BA">
        <w:tc>
          <w:tcPr>
            <w:tcW w:w="1731" w:type="dxa"/>
            <w:vAlign w:val="bottom"/>
          </w:tcPr>
          <w:p w14:paraId="685137EB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UCM</w:t>
            </w:r>
          </w:p>
        </w:tc>
        <w:tc>
          <w:tcPr>
            <w:tcW w:w="1711" w:type="dxa"/>
            <w:vAlign w:val="bottom"/>
          </w:tcPr>
          <w:p w14:paraId="0EDB2829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766" w:type="dxa"/>
            <w:vAlign w:val="bottom"/>
          </w:tcPr>
          <w:p w14:paraId="08A0750E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Inspection</w:t>
            </w:r>
          </w:p>
        </w:tc>
        <w:tc>
          <w:tcPr>
            <w:tcW w:w="1707" w:type="dxa"/>
            <w:vAlign w:val="bottom"/>
          </w:tcPr>
          <w:p w14:paraId="0EB74A7E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2435" w:type="dxa"/>
            <w:vAlign w:val="bottom"/>
          </w:tcPr>
          <w:p w14:paraId="28B1844A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Weld,</w:t>
            </w:r>
            <w:r w:rsidR="00AE739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Missing items,</w:t>
            </w:r>
            <w:r w:rsidR="00AE739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Configuration deviation</w:t>
            </w:r>
          </w:p>
        </w:tc>
      </w:tr>
      <w:tr w:rsidR="00614152" w14:paraId="5F8BDEAE" w14:textId="77777777" w:rsidTr="002574BA">
        <w:tc>
          <w:tcPr>
            <w:tcW w:w="1731" w:type="dxa"/>
            <w:vAlign w:val="bottom"/>
          </w:tcPr>
          <w:p w14:paraId="7AD16719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FPFT (field probe)</w:t>
            </w:r>
          </w:p>
        </w:tc>
        <w:tc>
          <w:tcPr>
            <w:tcW w:w="1711" w:type="dxa"/>
            <w:vAlign w:val="bottom"/>
          </w:tcPr>
          <w:p w14:paraId="4E6D1322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766" w:type="dxa"/>
            <w:vAlign w:val="bottom"/>
          </w:tcPr>
          <w:p w14:paraId="4983CC4D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Inspection</w:t>
            </w:r>
          </w:p>
        </w:tc>
        <w:tc>
          <w:tcPr>
            <w:tcW w:w="1707" w:type="dxa"/>
            <w:vAlign w:val="bottom"/>
          </w:tcPr>
          <w:p w14:paraId="604194B7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435" w:type="dxa"/>
            <w:vAlign w:val="bottom"/>
          </w:tcPr>
          <w:p w14:paraId="4EF31C27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Braze,</w:t>
            </w:r>
            <w:r w:rsidR="00AE739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Threads</w:t>
            </w:r>
          </w:p>
        </w:tc>
      </w:tr>
      <w:tr w:rsidR="00614152" w14:paraId="67A217D4" w14:textId="77777777" w:rsidTr="002574BA">
        <w:tc>
          <w:tcPr>
            <w:tcW w:w="1731" w:type="dxa"/>
            <w:vMerge w:val="restart"/>
            <w:vAlign w:val="bottom"/>
          </w:tcPr>
          <w:p w14:paraId="13EAA33D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CM</w:t>
            </w:r>
          </w:p>
        </w:tc>
        <w:tc>
          <w:tcPr>
            <w:tcW w:w="1711" w:type="dxa"/>
            <w:vMerge w:val="restart"/>
            <w:vAlign w:val="bottom"/>
          </w:tcPr>
          <w:p w14:paraId="2B850F76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766" w:type="dxa"/>
            <w:vAlign w:val="bottom"/>
          </w:tcPr>
          <w:p w14:paraId="2AAEF377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Assembly</w:t>
            </w:r>
          </w:p>
        </w:tc>
        <w:tc>
          <w:tcPr>
            <w:tcW w:w="1707" w:type="dxa"/>
            <w:vAlign w:val="bottom"/>
          </w:tcPr>
          <w:p w14:paraId="14BEEEA8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435" w:type="dxa"/>
            <w:vAlign w:val="bottom"/>
          </w:tcPr>
          <w:p w14:paraId="7BD64F03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Warm coupler damage</w:t>
            </w:r>
          </w:p>
        </w:tc>
      </w:tr>
      <w:tr w:rsidR="00614152" w14:paraId="78E45DA5" w14:textId="77777777" w:rsidTr="002574BA">
        <w:tc>
          <w:tcPr>
            <w:tcW w:w="1731" w:type="dxa"/>
            <w:vMerge/>
            <w:vAlign w:val="bottom"/>
          </w:tcPr>
          <w:p w14:paraId="50791607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11" w:type="dxa"/>
            <w:vMerge/>
            <w:vAlign w:val="bottom"/>
          </w:tcPr>
          <w:p w14:paraId="504EE79A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66" w:type="dxa"/>
            <w:vAlign w:val="bottom"/>
          </w:tcPr>
          <w:p w14:paraId="7E17EFB5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DMAG</w:t>
            </w:r>
          </w:p>
        </w:tc>
        <w:tc>
          <w:tcPr>
            <w:tcW w:w="1707" w:type="dxa"/>
            <w:vAlign w:val="bottom"/>
          </w:tcPr>
          <w:p w14:paraId="7754011D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435" w:type="dxa"/>
            <w:vAlign w:val="bottom"/>
          </w:tcPr>
          <w:p w14:paraId="6CBBBA3B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Magnetic field</w:t>
            </w:r>
          </w:p>
        </w:tc>
      </w:tr>
      <w:tr w:rsidR="00614152" w14:paraId="294684D2" w14:textId="77777777" w:rsidTr="002574BA">
        <w:tc>
          <w:tcPr>
            <w:tcW w:w="1731" w:type="dxa"/>
            <w:vMerge/>
            <w:vAlign w:val="bottom"/>
          </w:tcPr>
          <w:p w14:paraId="6BE978A7" w14:textId="77777777" w:rsidR="00614152" w:rsidRDefault="00614152" w:rsidP="002574BA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bottom"/>
          </w:tcPr>
          <w:p w14:paraId="76C6864A" w14:textId="77777777" w:rsidR="00614152" w:rsidRDefault="00614152" w:rsidP="002574BA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  <w:vAlign w:val="bottom"/>
          </w:tcPr>
          <w:p w14:paraId="391ACD2E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ACTS</w:t>
            </w:r>
          </w:p>
        </w:tc>
        <w:tc>
          <w:tcPr>
            <w:tcW w:w="1707" w:type="dxa"/>
            <w:vAlign w:val="bottom"/>
          </w:tcPr>
          <w:p w14:paraId="543E20C5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435" w:type="dxa"/>
            <w:vAlign w:val="bottom"/>
          </w:tcPr>
          <w:p w14:paraId="6E7C1535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FPC tuner,</w:t>
            </w:r>
            <w:r w:rsidR="00AE298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Piezo tuner</w:t>
            </w:r>
          </w:p>
        </w:tc>
      </w:tr>
      <w:tr w:rsidR="00614152" w14:paraId="26DE489E" w14:textId="77777777" w:rsidTr="002574BA">
        <w:tc>
          <w:tcPr>
            <w:tcW w:w="1731" w:type="dxa"/>
            <w:vAlign w:val="bottom"/>
          </w:tcPr>
          <w:p w14:paraId="11623BCB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IROD2L (invar rod)</w:t>
            </w:r>
          </w:p>
        </w:tc>
        <w:tc>
          <w:tcPr>
            <w:tcW w:w="1711" w:type="dxa"/>
            <w:vAlign w:val="bottom"/>
          </w:tcPr>
          <w:p w14:paraId="009C8383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766" w:type="dxa"/>
            <w:vAlign w:val="bottom"/>
          </w:tcPr>
          <w:p w14:paraId="0F6DE4E0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Inspection</w:t>
            </w:r>
          </w:p>
        </w:tc>
        <w:tc>
          <w:tcPr>
            <w:tcW w:w="1707" w:type="dxa"/>
            <w:vAlign w:val="bottom"/>
          </w:tcPr>
          <w:p w14:paraId="05F22645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435" w:type="dxa"/>
            <w:vAlign w:val="bottom"/>
          </w:tcPr>
          <w:p w14:paraId="35B2C938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Weld</w:t>
            </w:r>
          </w:p>
        </w:tc>
      </w:tr>
      <w:tr w:rsidR="00614152" w14:paraId="20B61195" w14:textId="77777777" w:rsidTr="002574BA">
        <w:tc>
          <w:tcPr>
            <w:tcW w:w="1731" w:type="dxa"/>
            <w:vAlign w:val="bottom"/>
          </w:tcPr>
          <w:p w14:paraId="38949A55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IROD2P (invar rod)</w:t>
            </w:r>
          </w:p>
        </w:tc>
        <w:tc>
          <w:tcPr>
            <w:tcW w:w="1711" w:type="dxa"/>
            <w:vAlign w:val="bottom"/>
          </w:tcPr>
          <w:p w14:paraId="37F18CEA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766" w:type="dxa"/>
            <w:vAlign w:val="bottom"/>
          </w:tcPr>
          <w:p w14:paraId="48B7C546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Inspection</w:t>
            </w:r>
          </w:p>
        </w:tc>
        <w:tc>
          <w:tcPr>
            <w:tcW w:w="1707" w:type="dxa"/>
            <w:vAlign w:val="bottom"/>
          </w:tcPr>
          <w:p w14:paraId="4D17E738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435" w:type="dxa"/>
            <w:vAlign w:val="bottom"/>
          </w:tcPr>
          <w:p w14:paraId="290E328D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Weld</w:t>
            </w:r>
          </w:p>
        </w:tc>
      </w:tr>
      <w:tr w:rsidR="00614152" w14:paraId="5BF67EA6" w14:textId="77777777" w:rsidTr="002574BA">
        <w:tc>
          <w:tcPr>
            <w:tcW w:w="1731" w:type="dxa"/>
            <w:vAlign w:val="bottom"/>
          </w:tcPr>
          <w:p w14:paraId="03CD4A1D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BLA</w:t>
            </w:r>
          </w:p>
        </w:tc>
        <w:tc>
          <w:tcPr>
            <w:tcW w:w="1711" w:type="dxa"/>
            <w:vAlign w:val="bottom"/>
          </w:tcPr>
          <w:p w14:paraId="75A0EADC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766" w:type="dxa"/>
            <w:vAlign w:val="bottom"/>
          </w:tcPr>
          <w:p w14:paraId="395F0032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Inspection</w:t>
            </w:r>
          </w:p>
        </w:tc>
        <w:tc>
          <w:tcPr>
            <w:tcW w:w="1707" w:type="dxa"/>
            <w:vAlign w:val="bottom"/>
          </w:tcPr>
          <w:p w14:paraId="0C9744D3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435" w:type="dxa"/>
            <w:vAlign w:val="bottom"/>
          </w:tcPr>
          <w:p w14:paraId="22381125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commentRangeStart w:id="3"/>
            <w:r>
              <w:rPr>
                <w:rFonts w:ascii="Calibri" w:hAnsi="Calibri"/>
                <w:color w:val="000000"/>
              </w:rPr>
              <w:t>Residue</w:t>
            </w:r>
            <w:commentRangeEnd w:id="3"/>
            <w:r w:rsidR="00AE7391">
              <w:rPr>
                <w:rStyle w:val="CommentReference"/>
              </w:rPr>
              <w:commentReference w:id="3"/>
            </w:r>
            <w:r>
              <w:rPr>
                <w:rFonts w:ascii="Calibri" w:hAnsi="Calibri"/>
                <w:color w:val="000000"/>
              </w:rPr>
              <w:t>,</w:t>
            </w:r>
            <w:r w:rsidR="00AE739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Braze</w:t>
            </w:r>
          </w:p>
        </w:tc>
      </w:tr>
      <w:tr w:rsidR="00614152" w14:paraId="65ED28CF" w14:textId="77777777" w:rsidTr="002574BA">
        <w:tc>
          <w:tcPr>
            <w:tcW w:w="1731" w:type="dxa"/>
            <w:vAlign w:val="bottom"/>
          </w:tcPr>
          <w:p w14:paraId="1A6587B7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BLXU (short spool)</w:t>
            </w:r>
          </w:p>
        </w:tc>
        <w:tc>
          <w:tcPr>
            <w:tcW w:w="1711" w:type="dxa"/>
            <w:vAlign w:val="bottom"/>
          </w:tcPr>
          <w:p w14:paraId="4414300D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766" w:type="dxa"/>
            <w:vAlign w:val="bottom"/>
          </w:tcPr>
          <w:p w14:paraId="558441E1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Inspection</w:t>
            </w:r>
          </w:p>
        </w:tc>
        <w:tc>
          <w:tcPr>
            <w:tcW w:w="1707" w:type="dxa"/>
            <w:vAlign w:val="bottom"/>
          </w:tcPr>
          <w:p w14:paraId="4DE048CD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435" w:type="dxa"/>
            <w:vAlign w:val="bottom"/>
          </w:tcPr>
          <w:p w14:paraId="3055C82D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SS defects,</w:t>
            </w:r>
            <w:r w:rsidR="00AE739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Weld</w:t>
            </w:r>
          </w:p>
        </w:tc>
      </w:tr>
      <w:tr w:rsidR="00614152" w14:paraId="7BCB1CBD" w14:textId="77777777" w:rsidTr="002574BA">
        <w:tc>
          <w:tcPr>
            <w:tcW w:w="1731" w:type="dxa"/>
            <w:vAlign w:val="bottom"/>
          </w:tcPr>
          <w:p w14:paraId="56436B75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LLUS (liquid level)</w:t>
            </w:r>
          </w:p>
        </w:tc>
        <w:tc>
          <w:tcPr>
            <w:tcW w:w="1711" w:type="dxa"/>
            <w:vAlign w:val="bottom"/>
          </w:tcPr>
          <w:p w14:paraId="737E54AC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766" w:type="dxa"/>
            <w:vAlign w:val="bottom"/>
          </w:tcPr>
          <w:p w14:paraId="50833D46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Inspection</w:t>
            </w:r>
          </w:p>
        </w:tc>
        <w:tc>
          <w:tcPr>
            <w:tcW w:w="1707" w:type="dxa"/>
            <w:vAlign w:val="bottom"/>
          </w:tcPr>
          <w:p w14:paraId="55D28AC2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435" w:type="dxa"/>
            <w:vAlign w:val="bottom"/>
          </w:tcPr>
          <w:p w14:paraId="092216A3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Heater</w:t>
            </w:r>
          </w:p>
        </w:tc>
      </w:tr>
      <w:tr w:rsidR="00614152" w14:paraId="49725384" w14:textId="77777777" w:rsidTr="002574BA">
        <w:tc>
          <w:tcPr>
            <w:tcW w:w="1731" w:type="dxa"/>
            <w:vAlign w:val="bottom"/>
          </w:tcPr>
          <w:p w14:paraId="3A1A8156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VV</w:t>
            </w:r>
          </w:p>
        </w:tc>
        <w:tc>
          <w:tcPr>
            <w:tcW w:w="1711" w:type="dxa"/>
            <w:vAlign w:val="bottom"/>
          </w:tcPr>
          <w:p w14:paraId="25E091B1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766" w:type="dxa"/>
            <w:vAlign w:val="bottom"/>
          </w:tcPr>
          <w:p w14:paraId="3341F7C9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Inspection</w:t>
            </w:r>
          </w:p>
        </w:tc>
        <w:tc>
          <w:tcPr>
            <w:tcW w:w="1707" w:type="dxa"/>
            <w:vAlign w:val="bottom"/>
          </w:tcPr>
          <w:p w14:paraId="04CBB49D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435" w:type="dxa"/>
            <w:vAlign w:val="bottom"/>
          </w:tcPr>
          <w:p w14:paraId="15DC8F4E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Threads,</w:t>
            </w:r>
            <w:r w:rsidR="00AE739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Seal concern</w:t>
            </w:r>
          </w:p>
        </w:tc>
      </w:tr>
      <w:tr w:rsidR="00614152" w14:paraId="71057BC2" w14:textId="77777777" w:rsidTr="002574BA">
        <w:tc>
          <w:tcPr>
            <w:tcW w:w="1731" w:type="dxa"/>
            <w:vAlign w:val="bottom"/>
          </w:tcPr>
          <w:p w14:paraId="41FAC0ED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AMGV (gate valve)</w:t>
            </w:r>
          </w:p>
        </w:tc>
        <w:tc>
          <w:tcPr>
            <w:tcW w:w="1711" w:type="dxa"/>
            <w:vAlign w:val="bottom"/>
          </w:tcPr>
          <w:p w14:paraId="4BC812FF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766" w:type="dxa"/>
            <w:vAlign w:val="bottom"/>
          </w:tcPr>
          <w:p w14:paraId="558DA4BD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Receiving</w:t>
            </w:r>
          </w:p>
        </w:tc>
        <w:tc>
          <w:tcPr>
            <w:tcW w:w="1707" w:type="dxa"/>
            <w:vAlign w:val="bottom"/>
          </w:tcPr>
          <w:p w14:paraId="35F5DA47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435" w:type="dxa"/>
            <w:vAlign w:val="bottom"/>
          </w:tcPr>
          <w:p w14:paraId="33C393AF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Configuration deviation</w:t>
            </w:r>
          </w:p>
        </w:tc>
      </w:tr>
      <w:tr w:rsidR="00614152" w14:paraId="64ABAF52" w14:textId="77777777" w:rsidTr="002574BA">
        <w:tc>
          <w:tcPr>
            <w:tcW w:w="1731" w:type="dxa"/>
            <w:vAlign w:val="bottom"/>
          </w:tcPr>
          <w:p w14:paraId="7A69C3D9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CST (string)</w:t>
            </w:r>
          </w:p>
        </w:tc>
        <w:tc>
          <w:tcPr>
            <w:tcW w:w="1711" w:type="dxa"/>
            <w:vAlign w:val="bottom"/>
          </w:tcPr>
          <w:p w14:paraId="468B5E22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766" w:type="dxa"/>
            <w:vAlign w:val="bottom"/>
          </w:tcPr>
          <w:p w14:paraId="6BA71365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Assembly</w:t>
            </w:r>
          </w:p>
        </w:tc>
        <w:tc>
          <w:tcPr>
            <w:tcW w:w="1707" w:type="dxa"/>
            <w:vAlign w:val="bottom"/>
          </w:tcPr>
          <w:p w14:paraId="039FE9C1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435" w:type="dxa"/>
            <w:vAlign w:val="bottom"/>
          </w:tcPr>
          <w:p w14:paraId="28D73F7F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Tooling</w:t>
            </w:r>
          </w:p>
        </w:tc>
      </w:tr>
      <w:tr w:rsidR="00614152" w14:paraId="2C197819" w14:textId="77777777" w:rsidTr="002574BA">
        <w:tc>
          <w:tcPr>
            <w:tcW w:w="1731" w:type="dxa"/>
            <w:vAlign w:val="bottom"/>
          </w:tcPr>
          <w:p w14:paraId="2971C1DE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HMFT (HOM probe)</w:t>
            </w:r>
          </w:p>
        </w:tc>
        <w:tc>
          <w:tcPr>
            <w:tcW w:w="1711" w:type="dxa"/>
            <w:vAlign w:val="bottom"/>
          </w:tcPr>
          <w:p w14:paraId="0C273CC4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766" w:type="dxa"/>
            <w:vAlign w:val="bottom"/>
          </w:tcPr>
          <w:p w14:paraId="5852D9E2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Inspection</w:t>
            </w:r>
          </w:p>
        </w:tc>
        <w:tc>
          <w:tcPr>
            <w:tcW w:w="1707" w:type="dxa"/>
            <w:vAlign w:val="bottom"/>
          </w:tcPr>
          <w:p w14:paraId="7D7D9328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435" w:type="dxa"/>
            <w:vAlign w:val="bottom"/>
          </w:tcPr>
          <w:p w14:paraId="5583607D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Center connector</w:t>
            </w:r>
          </w:p>
        </w:tc>
      </w:tr>
      <w:tr w:rsidR="00614152" w14:paraId="58E8015D" w14:textId="77777777" w:rsidTr="002574BA">
        <w:tc>
          <w:tcPr>
            <w:tcW w:w="1731" w:type="dxa"/>
            <w:vAlign w:val="bottom"/>
          </w:tcPr>
          <w:p w14:paraId="68212501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LLDS (liquid level)</w:t>
            </w:r>
          </w:p>
        </w:tc>
        <w:tc>
          <w:tcPr>
            <w:tcW w:w="1711" w:type="dxa"/>
            <w:vAlign w:val="bottom"/>
          </w:tcPr>
          <w:p w14:paraId="5A9593F8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766" w:type="dxa"/>
            <w:vAlign w:val="bottom"/>
          </w:tcPr>
          <w:p w14:paraId="375A6D8E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Inspection</w:t>
            </w:r>
          </w:p>
        </w:tc>
        <w:tc>
          <w:tcPr>
            <w:tcW w:w="1707" w:type="dxa"/>
            <w:vAlign w:val="bottom"/>
          </w:tcPr>
          <w:p w14:paraId="2329BFF9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435" w:type="dxa"/>
            <w:vAlign w:val="bottom"/>
          </w:tcPr>
          <w:p w14:paraId="13B66FB4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Heater</w:t>
            </w:r>
          </w:p>
        </w:tc>
      </w:tr>
      <w:tr w:rsidR="00614152" w14:paraId="4E546804" w14:textId="77777777" w:rsidTr="002574BA">
        <w:tc>
          <w:tcPr>
            <w:tcW w:w="1731" w:type="dxa"/>
            <w:vAlign w:val="bottom"/>
          </w:tcPr>
          <w:p w14:paraId="578936BC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MAG (magnet)</w:t>
            </w:r>
          </w:p>
        </w:tc>
        <w:tc>
          <w:tcPr>
            <w:tcW w:w="1711" w:type="dxa"/>
            <w:vAlign w:val="bottom"/>
          </w:tcPr>
          <w:p w14:paraId="46059DFE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766" w:type="dxa"/>
            <w:vAlign w:val="bottom"/>
          </w:tcPr>
          <w:p w14:paraId="608AEEFD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Inspection</w:t>
            </w:r>
          </w:p>
        </w:tc>
        <w:tc>
          <w:tcPr>
            <w:tcW w:w="1707" w:type="dxa"/>
            <w:vAlign w:val="bottom"/>
          </w:tcPr>
          <w:p w14:paraId="4CFF5852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435" w:type="dxa"/>
            <w:vAlign w:val="bottom"/>
          </w:tcPr>
          <w:p w14:paraId="7AEC17A7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commentRangeStart w:id="4"/>
            <w:r>
              <w:rPr>
                <w:rFonts w:ascii="Calibri" w:hAnsi="Calibri"/>
                <w:color w:val="000000"/>
              </w:rPr>
              <w:t>Shipping</w:t>
            </w:r>
            <w:commentRangeEnd w:id="4"/>
            <w:r w:rsidR="00AE7391">
              <w:rPr>
                <w:rStyle w:val="CommentReference"/>
              </w:rPr>
              <w:commentReference w:id="4"/>
            </w:r>
          </w:p>
        </w:tc>
      </w:tr>
      <w:tr w:rsidR="00614152" w14:paraId="237C9699" w14:textId="77777777" w:rsidTr="002574BA">
        <w:tc>
          <w:tcPr>
            <w:tcW w:w="1731" w:type="dxa"/>
            <w:vAlign w:val="bottom"/>
          </w:tcPr>
          <w:p w14:paraId="17272F28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MCCLA (MC coupling line)</w:t>
            </w:r>
          </w:p>
        </w:tc>
        <w:tc>
          <w:tcPr>
            <w:tcW w:w="1711" w:type="dxa"/>
            <w:vAlign w:val="bottom"/>
          </w:tcPr>
          <w:p w14:paraId="5548D2DE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766" w:type="dxa"/>
            <w:vAlign w:val="bottom"/>
          </w:tcPr>
          <w:p w14:paraId="65CE7779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Inspection</w:t>
            </w:r>
          </w:p>
        </w:tc>
        <w:tc>
          <w:tcPr>
            <w:tcW w:w="1707" w:type="dxa"/>
            <w:vAlign w:val="bottom"/>
          </w:tcPr>
          <w:p w14:paraId="3CCA3B38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435" w:type="dxa"/>
            <w:vAlign w:val="bottom"/>
          </w:tcPr>
          <w:p w14:paraId="354E9A27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Weld</w:t>
            </w:r>
          </w:p>
        </w:tc>
      </w:tr>
      <w:tr w:rsidR="00614152" w14:paraId="2C60F133" w14:textId="77777777" w:rsidTr="002574BA">
        <w:tc>
          <w:tcPr>
            <w:tcW w:w="1731" w:type="dxa"/>
            <w:vAlign w:val="bottom"/>
          </w:tcPr>
          <w:p w14:paraId="7DAA298B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End Switch Bracket</w:t>
            </w:r>
          </w:p>
        </w:tc>
        <w:tc>
          <w:tcPr>
            <w:tcW w:w="1711" w:type="dxa"/>
            <w:vAlign w:val="bottom"/>
          </w:tcPr>
          <w:p w14:paraId="0408C205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766" w:type="dxa"/>
            <w:vAlign w:val="bottom"/>
          </w:tcPr>
          <w:p w14:paraId="5F07EB7E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Inspection</w:t>
            </w:r>
          </w:p>
        </w:tc>
        <w:tc>
          <w:tcPr>
            <w:tcW w:w="1707" w:type="dxa"/>
            <w:vAlign w:val="bottom"/>
          </w:tcPr>
          <w:p w14:paraId="4DE22B05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435" w:type="dxa"/>
            <w:vAlign w:val="bottom"/>
          </w:tcPr>
          <w:p w14:paraId="78994E62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Threads</w:t>
            </w:r>
          </w:p>
        </w:tc>
      </w:tr>
    </w:tbl>
    <w:p w14:paraId="1E120513" w14:textId="77777777" w:rsidR="00614152" w:rsidRDefault="00614152" w:rsidP="00E62683"/>
    <w:p w14:paraId="345971AF" w14:textId="77777777" w:rsidR="00580DF7" w:rsidRPr="003F25FF" w:rsidRDefault="00580DF7">
      <w:pPr>
        <w:rPr>
          <w:b/>
        </w:rPr>
      </w:pPr>
      <w:r w:rsidRPr="003F25FF">
        <w:rPr>
          <w:b/>
        </w:rPr>
        <w:t xml:space="preserve">3. </w:t>
      </w:r>
      <w:r w:rsidR="007B04DA">
        <w:rPr>
          <w:b/>
        </w:rPr>
        <w:t>Observation and c</w:t>
      </w:r>
      <w:r w:rsidRPr="003F25FF">
        <w:rPr>
          <w:b/>
        </w:rPr>
        <w:t>omments</w:t>
      </w:r>
    </w:p>
    <w:p w14:paraId="666B20DC" w14:textId="77777777" w:rsidR="004B4683" w:rsidRPr="005E64B0" w:rsidRDefault="004B4683">
      <w:pPr>
        <w:rPr>
          <w:dstrike/>
        </w:rPr>
      </w:pPr>
      <w:r>
        <w:t>Some categories overlap</w:t>
      </w:r>
      <w:r w:rsidR="00BE071A">
        <w:t xml:space="preserve"> and can be confusing</w:t>
      </w:r>
      <w:r w:rsidR="00DD0657">
        <w:t xml:space="preserve"> while assigning</w:t>
      </w:r>
      <w:r>
        <w:t xml:space="preserve">. </w:t>
      </w:r>
      <w:r w:rsidR="00BE071A">
        <w:t xml:space="preserve">The same categories were selected by different users for different components for completely different issues. </w:t>
      </w:r>
      <w:r>
        <w:t xml:space="preserve">For example, </w:t>
      </w:r>
      <w:r w:rsidR="00EF5D51">
        <w:t>PLATING</w:t>
      </w:r>
      <w:r>
        <w:t xml:space="preserve"> [9] is under </w:t>
      </w:r>
      <w:r w:rsidR="00EF5D51">
        <w:t>SURFACE DAMAGE</w:t>
      </w:r>
      <w:r>
        <w:t xml:space="preserve"> [6-9], but plating issue can include other categories in </w:t>
      </w:r>
      <w:r w:rsidR="00EF5D51">
        <w:t>SURFACE DAMAGE</w:t>
      </w:r>
      <w:r>
        <w:t xml:space="preserve"> and </w:t>
      </w:r>
      <w:r w:rsidR="00EF5D51">
        <w:t>SURFACE CONTAMINATION</w:t>
      </w:r>
      <w:r>
        <w:t xml:space="preserve"> [10-12].</w:t>
      </w:r>
      <w:r w:rsidR="005123EB">
        <w:t xml:space="preserve"> </w:t>
      </w:r>
      <w:r w:rsidR="00EF5D51">
        <w:t>INSPECTION FAILURE</w:t>
      </w:r>
      <w:r w:rsidR="005123EB">
        <w:t xml:space="preserve"> [13] is a big category that can include many other categories. (Cryomodule) RF [19] and CMTF RF </w:t>
      </w:r>
      <w:r w:rsidR="00EF5D51">
        <w:t>PERFORMANCE</w:t>
      </w:r>
      <w:r w:rsidR="005123EB">
        <w:t xml:space="preserve"> [16] seem to refer to the same type of issue, and the existence of (RF components) RF T</w:t>
      </w:r>
      <w:r w:rsidR="00EF5D51">
        <w:t>EST</w:t>
      </w:r>
      <w:r w:rsidR="005123EB">
        <w:t xml:space="preserve"> F</w:t>
      </w:r>
      <w:r w:rsidR="00EF5D51">
        <w:t>AILURE</w:t>
      </w:r>
      <w:r w:rsidR="005123EB">
        <w:t xml:space="preserve"> [14] and VTA RF P</w:t>
      </w:r>
      <w:r w:rsidR="00EF5D51">
        <w:t>ERFORMANCE</w:t>
      </w:r>
      <w:r w:rsidR="005123EB">
        <w:t xml:space="preserve"> [17] </w:t>
      </w:r>
      <w:r w:rsidR="00BE071A">
        <w:t>make</w:t>
      </w:r>
      <w:r w:rsidR="00073913">
        <w:t>s</w:t>
      </w:r>
      <w:r w:rsidR="00BE071A">
        <w:t xml:space="preserve"> it more vulnerable to user dependency. </w:t>
      </w:r>
      <w:commentRangeStart w:id="5"/>
      <w:r w:rsidR="00BE071A" w:rsidRPr="005E64B0">
        <w:rPr>
          <w:dstrike/>
          <w:highlight w:val="yellow"/>
        </w:rPr>
        <w:t xml:space="preserve">User training for each traveler </w:t>
      </w:r>
      <w:proofErr w:type="gramStart"/>
      <w:r w:rsidR="00BE071A" w:rsidRPr="005E64B0">
        <w:rPr>
          <w:dstrike/>
          <w:highlight w:val="yellow"/>
        </w:rPr>
        <w:t xml:space="preserve">is </w:t>
      </w:r>
      <w:r w:rsidR="00DD0657" w:rsidRPr="005E64B0">
        <w:rPr>
          <w:dstrike/>
          <w:highlight w:val="yellow"/>
        </w:rPr>
        <w:t>recommend</w:t>
      </w:r>
      <w:r w:rsidR="00BE071A" w:rsidRPr="005E64B0">
        <w:rPr>
          <w:dstrike/>
          <w:highlight w:val="yellow"/>
        </w:rPr>
        <w:t>ed</w:t>
      </w:r>
      <w:proofErr w:type="gramEnd"/>
      <w:r w:rsidR="00BE071A" w:rsidRPr="005E64B0">
        <w:rPr>
          <w:dstrike/>
          <w:highlight w:val="yellow"/>
        </w:rPr>
        <w:t xml:space="preserve"> to reduce user dependency in filling out traveler/NCR and collect</w:t>
      </w:r>
      <w:r w:rsidR="00D152AE" w:rsidRPr="005E64B0">
        <w:rPr>
          <w:dstrike/>
          <w:highlight w:val="yellow"/>
        </w:rPr>
        <w:t>ing</w:t>
      </w:r>
      <w:r w:rsidR="00BE071A" w:rsidRPr="005E64B0">
        <w:rPr>
          <w:dstrike/>
          <w:highlight w:val="yellow"/>
        </w:rPr>
        <w:t xml:space="preserve"> high quality </w:t>
      </w:r>
      <w:commentRangeStart w:id="6"/>
      <w:r w:rsidR="00BE071A" w:rsidRPr="005E64B0">
        <w:rPr>
          <w:dstrike/>
          <w:highlight w:val="yellow"/>
        </w:rPr>
        <w:t>data</w:t>
      </w:r>
      <w:commentRangeEnd w:id="6"/>
      <w:r w:rsidR="00AE2982" w:rsidRPr="005E64B0">
        <w:rPr>
          <w:rStyle w:val="CommentReference"/>
          <w:dstrike/>
        </w:rPr>
        <w:commentReference w:id="6"/>
      </w:r>
      <w:r w:rsidR="00BE071A" w:rsidRPr="005E64B0">
        <w:rPr>
          <w:dstrike/>
          <w:highlight w:val="yellow"/>
        </w:rPr>
        <w:t>.</w:t>
      </w:r>
      <w:commentRangeEnd w:id="5"/>
      <w:r w:rsidR="005E64B0">
        <w:rPr>
          <w:rStyle w:val="CommentReference"/>
        </w:rPr>
        <w:commentReference w:id="5"/>
      </w:r>
    </w:p>
    <w:p w14:paraId="36D89368" w14:textId="77777777" w:rsidR="0024027F" w:rsidRDefault="0024027F" w:rsidP="0024027F">
      <w:r>
        <w:t>Not all components can use the provided issue categories in current LCLS-II NCR traveler. Those ended up using “O</w:t>
      </w:r>
      <w:r w:rsidR="0061797B">
        <w:t>THER</w:t>
      </w:r>
      <w:r>
        <w:t>” category.</w:t>
      </w:r>
    </w:p>
    <w:p w14:paraId="2D9BBD72" w14:textId="77777777" w:rsidR="008344E0" w:rsidRDefault="008344E0" w:rsidP="008344E0">
      <w:r w:rsidRPr="00AE2982">
        <w:rPr>
          <w:highlight w:val="yellow"/>
        </w:rPr>
        <w:t>Cavity VTRF does not have sub-</w:t>
      </w:r>
      <w:commentRangeStart w:id="7"/>
      <w:r w:rsidRPr="00AE2982">
        <w:rPr>
          <w:highlight w:val="yellow"/>
        </w:rPr>
        <w:t>categories</w:t>
      </w:r>
      <w:commentRangeEnd w:id="7"/>
      <w:r w:rsidR="00AE2982">
        <w:rPr>
          <w:rStyle w:val="CommentReference"/>
        </w:rPr>
        <w:commentReference w:id="7"/>
      </w:r>
      <w:r>
        <w:t xml:space="preserve">, which make it difficult to get statistics for different types of NCRs </w:t>
      </w:r>
      <w:r w:rsidR="002F7B21">
        <w:t>within</w:t>
      </w:r>
      <w:r>
        <w:t xml:space="preserve"> VTRF if needed.</w:t>
      </w:r>
    </w:p>
    <w:p w14:paraId="4ABF8EE3" w14:textId="0C173A79" w:rsidR="0024027F" w:rsidRDefault="0024027F">
      <w:r>
        <w:t xml:space="preserve">Category of NCRs </w:t>
      </w:r>
      <w:r w:rsidR="0090623D">
        <w:t xml:space="preserve">may </w:t>
      </w:r>
      <w:r>
        <w:t xml:space="preserve">need better differentiation among different components. </w:t>
      </w:r>
      <w:r w:rsidRPr="00AE2982">
        <w:rPr>
          <w:highlight w:val="yellow"/>
        </w:rPr>
        <w:t xml:space="preserve">Each SOTR may have different definition of defects associated with their </w:t>
      </w:r>
      <w:commentRangeStart w:id="8"/>
      <w:r w:rsidRPr="00AE2982">
        <w:rPr>
          <w:highlight w:val="yellow"/>
        </w:rPr>
        <w:t>components</w:t>
      </w:r>
      <w:commentRangeEnd w:id="8"/>
      <w:r w:rsidR="00AE2982">
        <w:rPr>
          <w:rStyle w:val="CommentReference"/>
        </w:rPr>
        <w:commentReference w:id="8"/>
      </w:r>
      <w:r>
        <w:t>.</w:t>
      </w:r>
    </w:p>
    <w:p w14:paraId="722AF1C5" w14:textId="55E51F59" w:rsidR="005E64B0" w:rsidRPr="005E64B0" w:rsidRDefault="005E64B0">
      <w:pPr>
        <w:rPr>
          <w:highlight w:val="cyan"/>
        </w:rPr>
      </w:pPr>
      <w:r w:rsidRPr="005E64B0">
        <w:rPr>
          <w:highlight w:val="cyan"/>
        </w:rPr>
        <w:t>Recommendation (Anne</w:t>
      </w:r>
      <w:r>
        <w:rPr>
          <w:highlight w:val="cyan"/>
        </w:rPr>
        <w:t xml:space="preserve"> – </w:t>
      </w:r>
      <w:proofErr w:type="gramStart"/>
      <w:r>
        <w:rPr>
          <w:highlight w:val="cyan"/>
        </w:rPr>
        <w:t xml:space="preserve">12Jun2020 </w:t>
      </w:r>
      <w:r w:rsidRPr="005E64B0">
        <w:rPr>
          <w:highlight w:val="cyan"/>
        </w:rPr>
        <w:t>)</w:t>
      </w:r>
      <w:proofErr w:type="gramEnd"/>
      <w:r w:rsidRPr="005E64B0">
        <w:rPr>
          <w:highlight w:val="cyan"/>
        </w:rPr>
        <w:t xml:space="preserve"> </w:t>
      </w:r>
    </w:p>
    <w:p w14:paraId="415306A2" w14:textId="3A12A2F0" w:rsidR="005E64B0" w:rsidRDefault="005E64B0">
      <w:r w:rsidRPr="005E64B0">
        <w:rPr>
          <w:highlight w:val="cyan"/>
        </w:rPr>
        <w:t xml:space="preserve">Between large projects we have often conducted a review of our </w:t>
      </w:r>
      <w:r w:rsidR="00F36486" w:rsidRPr="005E64B0">
        <w:rPr>
          <w:highlight w:val="cyan"/>
        </w:rPr>
        <w:t>categories</w:t>
      </w:r>
      <w:r w:rsidRPr="005E64B0">
        <w:rPr>
          <w:highlight w:val="cyan"/>
        </w:rPr>
        <w:t xml:space="preserve"> for types of defects – it would be good to do this again as L2 winds down, and new projects such as SNS and HE are starting – will set this up , working with Liang, Valerie and the Work center leads</w:t>
      </w:r>
      <w:r>
        <w:t xml:space="preserve"> </w:t>
      </w:r>
    </w:p>
    <w:p w14:paraId="1028F48A" w14:textId="56B75553" w:rsidR="005E64B0" w:rsidRDefault="005E64B0">
      <w:r w:rsidRPr="005E64B0">
        <w:rPr>
          <w:highlight w:val="cyan"/>
        </w:rPr>
        <w:t xml:space="preserve">As a secondary objective, propose that Liang assisted by others will collect the KPIs for Cavity &amp; CM test to see if we cannot come up with a common set that </w:t>
      </w:r>
      <w:proofErr w:type="gramStart"/>
      <w:r w:rsidRPr="005E64B0">
        <w:rPr>
          <w:highlight w:val="cyan"/>
        </w:rPr>
        <w:t>can be used</w:t>
      </w:r>
      <w:proofErr w:type="gramEnd"/>
      <w:r w:rsidRPr="005E64B0">
        <w:rPr>
          <w:highlight w:val="cyan"/>
        </w:rPr>
        <w:t xml:space="preserve"> across all projects (these are where we often need customer approval for the NCRs – and so need special reports</w:t>
      </w:r>
      <w:r>
        <w:t xml:space="preserve"> </w:t>
      </w:r>
    </w:p>
    <w:p w14:paraId="31D97774" w14:textId="73C53E72" w:rsidR="008D6D2A" w:rsidRDefault="008D6D2A"/>
    <w:p w14:paraId="70F99385" w14:textId="319D5C1D" w:rsidR="00AB3B98" w:rsidRDefault="00AB3B98">
      <w:bookmarkStart w:id="9" w:name="_GoBack"/>
      <w:bookmarkEnd w:id="9"/>
    </w:p>
    <w:p w14:paraId="7CE395AE" w14:textId="68ADB637" w:rsidR="00AB3B98" w:rsidRPr="005E64B0" w:rsidRDefault="00AB3B98">
      <w:pPr>
        <w:rPr>
          <w:highlight w:val="yellow"/>
        </w:rPr>
      </w:pPr>
      <w:r w:rsidRPr="005E64B0">
        <w:rPr>
          <w:highlight w:val="yellow"/>
        </w:rPr>
        <w:t>Comments</w:t>
      </w:r>
      <w:r w:rsidR="005E64B0" w:rsidRPr="005E64B0">
        <w:rPr>
          <w:highlight w:val="yellow"/>
        </w:rPr>
        <w:t xml:space="preserve"> from </w:t>
      </w:r>
      <w:proofErr w:type="gramStart"/>
      <w:r w:rsidR="005E64B0" w:rsidRPr="005E64B0">
        <w:rPr>
          <w:highlight w:val="yellow"/>
        </w:rPr>
        <w:t xml:space="preserve">Valerie </w:t>
      </w:r>
      <w:r w:rsidRPr="005E64B0">
        <w:rPr>
          <w:highlight w:val="yellow"/>
        </w:rPr>
        <w:t>:</w:t>
      </w:r>
      <w:proofErr w:type="gramEnd"/>
    </w:p>
    <w:p w14:paraId="4BC6FED6" w14:textId="77777777" w:rsidR="00AB3B98" w:rsidRPr="005E64B0" w:rsidRDefault="00AB3B98">
      <w:pPr>
        <w:rPr>
          <w:highlight w:val="yellow"/>
        </w:rPr>
      </w:pPr>
      <w:r w:rsidRPr="005E64B0">
        <w:rPr>
          <w:highlight w:val="yellow"/>
        </w:rPr>
        <w:t xml:space="preserve">I think this is a great evaluation!  </w:t>
      </w:r>
    </w:p>
    <w:p w14:paraId="56124D13" w14:textId="09974C6D" w:rsidR="00AB3B98" w:rsidRDefault="00AB3B98">
      <w:r w:rsidRPr="005E64B0">
        <w:rPr>
          <w:highlight w:val="yellow"/>
        </w:rPr>
        <w:t>If Categories need to change then we (SRFOPS) need to figure out a way to do this which will be useful for ALL PROJECTS. I think going to a per project basis could be confusing to the inspectors/testers (who are usually the same people regardless of project). Better definitions could/should be written and possible training, but that would be QA based, in that the software just gives the selection possibilities and not the criteria to be used (subjective)</w:t>
      </w:r>
    </w:p>
    <w:sectPr w:rsidR="00AB3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Valerie Bookwalter" w:date="2020-06-08T14:48:00Z" w:initials="VB">
    <w:p w14:paraId="6860E3AD" w14:textId="77777777" w:rsidR="00AE7391" w:rsidRDefault="00AE7391">
      <w:pPr>
        <w:pStyle w:val="CommentText"/>
      </w:pPr>
      <w:r>
        <w:rPr>
          <w:rStyle w:val="CommentReference"/>
        </w:rPr>
        <w:annotationRef/>
      </w:r>
      <w:r>
        <w:t>These were discussed as a group and Brian mapped out all the Inspection related items. The rest were agreed upon by the original SRFOPS team.</w:t>
      </w:r>
    </w:p>
  </w:comment>
  <w:comment w:id="1" w:author="Valerie Bookwalter" w:date="2020-06-08T14:46:00Z" w:initials="VB">
    <w:p w14:paraId="680B59DC" w14:textId="77777777" w:rsidR="00AE7391" w:rsidRDefault="00AE7391">
      <w:pPr>
        <w:pStyle w:val="CommentText"/>
      </w:pPr>
      <w:r>
        <w:rPr>
          <w:rStyle w:val="CommentReference"/>
        </w:rPr>
        <w:annotationRef/>
      </w:r>
      <w:r>
        <w:t>Why was VTA RF test not used?</w:t>
      </w:r>
    </w:p>
  </w:comment>
  <w:comment w:id="2" w:author="Valerie Bookwalter" w:date="2020-06-08T14:46:00Z" w:initials="VB">
    <w:p w14:paraId="168329FC" w14:textId="77777777" w:rsidR="00AE7391" w:rsidRDefault="00AE7391">
      <w:pPr>
        <w:pStyle w:val="CommentText"/>
      </w:pPr>
      <w:r>
        <w:rPr>
          <w:rStyle w:val="CommentReference"/>
        </w:rPr>
        <w:annotationRef/>
      </w:r>
      <w:r>
        <w:t>Shipping Damage is covered. Docs are not</w:t>
      </w:r>
    </w:p>
  </w:comment>
  <w:comment w:id="3" w:author="Valerie Bookwalter" w:date="2020-06-08T14:50:00Z" w:initials="VB">
    <w:p w14:paraId="40EE72F3" w14:textId="77777777" w:rsidR="00AE7391" w:rsidRDefault="00AE7391">
      <w:pPr>
        <w:pStyle w:val="CommentText"/>
      </w:pPr>
      <w:r>
        <w:rPr>
          <w:rStyle w:val="CommentReference"/>
        </w:rPr>
        <w:annotationRef/>
      </w:r>
      <w:r>
        <w:t>Residue is covered</w:t>
      </w:r>
    </w:p>
  </w:comment>
  <w:comment w:id="4" w:author="Valerie Bookwalter" w:date="2020-06-08T14:47:00Z" w:initials="VB">
    <w:p w14:paraId="16BCBC48" w14:textId="77777777" w:rsidR="00AE7391" w:rsidRDefault="00AE7391">
      <w:pPr>
        <w:pStyle w:val="CommentText"/>
      </w:pPr>
      <w:r>
        <w:rPr>
          <w:rStyle w:val="CommentReference"/>
        </w:rPr>
        <w:annotationRef/>
      </w:r>
      <w:r>
        <w:t>Shipping Damage covered</w:t>
      </w:r>
    </w:p>
  </w:comment>
  <w:comment w:id="6" w:author="Valerie Bookwalter" w:date="2020-06-08T14:52:00Z" w:initials="VB">
    <w:p w14:paraId="618FCE20" w14:textId="77777777" w:rsidR="00AE2982" w:rsidRDefault="00AE2982">
      <w:pPr>
        <w:pStyle w:val="CommentText"/>
      </w:pPr>
      <w:r>
        <w:rPr>
          <w:rStyle w:val="CommentReference"/>
        </w:rPr>
        <w:annotationRef/>
      </w:r>
      <w:r>
        <w:t>Training could be done, BUT if this becomes a project dependent categorization of failure modes, then this could be problematic. Especially for reporting!</w:t>
      </w:r>
    </w:p>
  </w:comment>
  <w:comment w:id="5" w:author="E. Anne McEwen" w:date="2020-06-12T12:52:00Z" w:initials="EAM">
    <w:p w14:paraId="655C6128" w14:textId="3251EDA9" w:rsidR="005E64B0" w:rsidRDefault="005E64B0">
      <w:pPr>
        <w:pStyle w:val="CommentText"/>
      </w:pPr>
      <w:r>
        <w:rPr>
          <w:rStyle w:val="CommentReference"/>
        </w:rPr>
        <w:annotationRef/>
      </w:r>
      <w:r>
        <w:t xml:space="preserve">Will set up a meeting with SMEs to see about consolidating defect type categories further </w:t>
      </w:r>
    </w:p>
  </w:comment>
  <w:comment w:id="7" w:author="Valerie Bookwalter" w:date="2020-06-08T14:54:00Z" w:initials="VB">
    <w:p w14:paraId="64E395C3" w14:textId="77777777" w:rsidR="00AE2982" w:rsidRDefault="00AE2982">
      <w:pPr>
        <w:pStyle w:val="CommentText"/>
      </w:pPr>
      <w:r>
        <w:rPr>
          <w:rStyle w:val="CommentReference"/>
        </w:rPr>
        <w:annotationRef/>
      </w:r>
      <w:r>
        <w:t>No one has ever asked for this, is this needed?</w:t>
      </w:r>
    </w:p>
  </w:comment>
  <w:comment w:id="8" w:author="Valerie Bookwalter" w:date="2020-06-08T14:54:00Z" w:initials="VB">
    <w:p w14:paraId="09F54883" w14:textId="77777777" w:rsidR="00AE2982" w:rsidRDefault="00AE2982">
      <w:pPr>
        <w:pStyle w:val="CommentText"/>
      </w:pPr>
      <w:r>
        <w:rPr>
          <w:rStyle w:val="CommentReference"/>
        </w:rPr>
        <w:annotationRef/>
      </w:r>
      <w:r>
        <w:t>This could be problematic programming and reporting. Also, how much say does SRFOPS have in the criteria of which parts are acceptable? And what belongs to the SOTR/ENGR/Project&gt;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860E3AD" w15:done="0"/>
  <w15:commentEx w15:paraId="680B59DC" w15:done="0"/>
  <w15:commentEx w15:paraId="168329FC" w15:done="0"/>
  <w15:commentEx w15:paraId="40EE72F3" w15:done="0"/>
  <w15:commentEx w15:paraId="16BCBC48" w15:done="0"/>
  <w15:commentEx w15:paraId="618FCE20" w15:done="0"/>
  <w15:commentEx w15:paraId="655C6128" w15:done="0"/>
  <w15:commentEx w15:paraId="64E395C3" w15:done="0"/>
  <w15:commentEx w15:paraId="09F5488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A2870"/>
    <w:multiLevelType w:val="hybridMultilevel"/>
    <w:tmpl w:val="1928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lerie Bookwalter">
    <w15:presenceInfo w15:providerId="AD" w15:userId="S-1-5-21-1097014734-140981682-1849977318-1676"/>
  </w15:person>
  <w15:person w15:author="E. Anne McEwen">
    <w15:presenceInfo w15:providerId="AD" w15:userId="S-1-5-21-1097014734-140981682-1849977318-261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60"/>
    <w:rsid w:val="00073913"/>
    <w:rsid w:val="001074E0"/>
    <w:rsid w:val="00175708"/>
    <w:rsid w:val="001C3E7D"/>
    <w:rsid w:val="00201628"/>
    <w:rsid w:val="0024027F"/>
    <w:rsid w:val="00262FF5"/>
    <w:rsid w:val="00283068"/>
    <w:rsid w:val="002D5714"/>
    <w:rsid w:val="002F7B21"/>
    <w:rsid w:val="00360B4C"/>
    <w:rsid w:val="003F25FF"/>
    <w:rsid w:val="00424202"/>
    <w:rsid w:val="004B4683"/>
    <w:rsid w:val="004C283E"/>
    <w:rsid w:val="005123EB"/>
    <w:rsid w:val="00543780"/>
    <w:rsid w:val="00580DF7"/>
    <w:rsid w:val="0058755A"/>
    <w:rsid w:val="005A20B4"/>
    <w:rsid w:val="005A3C16"/>
    <w:rsid w:val="005E64B0"/>
    <w:rsid w:val="00614152"/>
    <w:rsid w:val="0061797B"/>
    <w:rsid w:val="00642D05"/>
    <w:rsid w:val="006B7FE0"/>
    <w:rsid w:val="006C66ED"/>
    <w:rsid w:val="007B04DA"/>
    <w:rsid w:val="008344E0"/>
    <w:rsid w:val="008D6D2A"/>
    <w:rsid w:val="008F544A"/>
    <w:rsid w:val="0090623D"/>
    <w:rsid w:val="00986E54"/>
    <w:rsid w:val="00A1627A"/>
    <w:rsid w:val="00A23967"/>
    <w:rsid w:val="00AB3B98"/>
    <w:rsid w:val="00AE2982"/>
    <w:rsid w:val="00AE7391"/>
    <w:rsid w:val="00B4473E"/>
    <w:rsid w:val="00BE071A"/>
    <w:rsid w:val="00C848A8"/>
    <w:rsid w:val="00CE4BF3"/>
    <w:rsid w:val="00D152AE"/>
    <w:rsid w:val="00D35578"/>
    <w:rsid w:val="00DD0657"/>
    <w:rsid w:val="00E109DB"/>
    <w:rsid w:val="00E62683"/>
    <w:rsid w:val="00EE11EE"/>
    <w:rsid w:val="00EF5D51"/>
    <w:rsid w:val="00F02F60"/>
    <w:rsid w:val="00F36486"/>
    <w:rsid w:val="00FB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A5A32"/>
  <w15:chartTrackingRefBased/>
  <w15:docId w15:val="{4B851B0E-59A0-4490-905D-DCEE35BD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0D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E7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3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3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3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3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omments" Target="comments.xm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zhao\Desktop\QA\L2PRD-NCRs_20200521_Research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zhao\Desktop\QA\L2PRD-NCRs_20200521_Research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zhao\Desktop\QA\L2PRD-NCRs_20200521_Research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zhao\Desktop\QA\L2PRD-NCRs_20200521_Research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NCR types in BLBP and BLBS inspection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'[L2PRD-NCRs_20200521_Research.xlsx]BLBP&amp;S'!$R$531</c:f>
              <c:strCache>
                <c:ptCount val="1"/>
                <c:pt idx="0">
                  <c:v>Counts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'[L2PRD-NCRs_20200521_Research.xlsx]BLBP&amp;S'!$Q$532:$Q$541</c:f>
              <c:strCache>
                <c:ptCount val="10"/>
                <c:pt idx="0">
                  <c:v>SCRATCHES  </c:v>
                </c:pt>
                <c:pt idx="1">
                  <c:v>PLATING  </c:v>
                </c:pt>
                <c:pt idx="2">
                  <c:v>DIMENSIONAL  </c:v>
                </c:pt>
                <c:pt idx="3">
                  <c:v>STAINS  </c:v>
                </c:pt>
                <c:pt idx="4">
                  <c:v>ROUGHNESS  </c:v>
                </c:pt>
                <c:pt idx="5">
                  <c:v>OTHER  </c:v>
                </c:pt>
                <c:pt idx="6">
                  <c:v>RESIDUES  </c:v>
                </c:pt>
                <c:pt idx="7">
                  <c:v>SHIPPINGDAMAGE  </c:v>
                </c:pt>
                <c:pt idx="8">
                  <c:v>DINGS  </c:v>
                </c:pt>
                <c:pt idx="9">
                  <c:v>OXIDATION  </c:v>
                </c:pt>
              </c:strCache>
            </c:strRef>
          </c:cat>
          <c:val>
            <c:numRef>
              <c:f>'[L2PRD-NCRs_20200521_Research.xlsx]BLBP&amp;S'!$R$532:$R$541</c:f>
              <c:numCache>
                <c:formatCode>General</c:formatCode>
                <c:ptCount val="10"/>
                <c:pt idx="0">
                  <c:v>179</c:v>
                </c:pt>
                <c:pt idx="1">
                  <c:v>134</c:v>
                </c:pt>
                <c:pt idx="2">
                  <c:v>62</c:v>
                </c:pt>
                <c:pt idx="3">
                  <c:v>56</c:v>
                </c:pt>
                <c:pt idx="4">
                  <c:v>50</c:v>
                </c:pt>
                <c:pt idx="5">
                  <c:v>39</c:v>
                </c:pt>
                <c:pt idx="6">
                  <c:v>23</c:v>
                </c:pt>
                <c:pt idx="7">
                  <c:v>17</c:v>
                </c:pt>
                <c:pt idx="8">
                  <c:v>16</c:v>
                </c:pt>
                <c:pt idx="9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BB-490B-AF97-F0CB83BD79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6992640"/>
        <c:axId val="586993952"/>
      </c:barChart>
      <c:catAx>
        <c:axId val="586992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6993952"/>
        <c:crosses val="autoZero"/>
        <c:auto val="1"/>
        <c:lblAlgn val="ctr"/>
        <c:lblOffset val="100"/>
        <c:noMultiLvlLbl val="0"/>
      </c:catAx>
      <c:valAx>
        <c:axId val="586993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6992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NCR types in HMFT and FPFT inspection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'[L2PRD-NCRs_20200521_Research.xlsx]HM&amp;FPFT'!$E$258</c:f>
              <c:strCache>
                <c:ptCount val="1"/>
                <c:pt idx="0">
                  <c:v>Counts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'[L2PRD-NCRs_20200521_Research.xlsx]HM&amp;FPFT'!$D$259:$D$265</c:f>
              <c:strCache>
                <c:ptCount val="7"/>
                <c:pt idx="0">
                  <c:v>SCRATCHES  </c:v>
                </c:pt>
                <c:pt idx="1">
                  <c:v>DIMENSIONAL  </c:v>
                </c:pt>
                <c:pt idx="2">
                  <c:v>ROUGHNESS  </c:v>
                </c:pt>
                <c:pt idx="3">
                  <c:v>OTHER  </c:v>
                </c:pt>
                <c:pt idx="4">
                  <c:v>FLATNESS  </c:v>
                </c:pt>
                <c:pt idx="5">
                  <c:v>DINGS  </c:v>
                </c:pt>
                <c:pt idx="6">
                  <c:v>RESIDUES  </c:v>
                </c:pt>
              </c:strCache>
            </c:strRef>
          </c:cat>
          <c:val>
            <c:numRef>
              <c:f>'[L2PRD-NCRs_20200521_Research.xlsx]HM&amp;FPFT'!$E$259:$E$265</c:f>
              <c:numCache>
                <c:formatCode>General</c:formatCode>
                <c:ptCount val="7"/>
                <c:pt idx="0">
                  <c:v>201</c:v>
                </c:pt>
                <c:pt idx="1">
                  <c:v>33</c:v>
                </c:pt>
                <c:pt idx="2">
                  <c:v>17</c:v>
                </c:pt>
                <c:pt idx="3">
                  <c:v>6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82-460D-A39D-60879C5B49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6998216"/>
        <c:axId val="586991984"/>
      </c:barChart>
      <c:catAx>
        <c:axId val="586998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6991984"/>
        <c:crosses val="autoZero"/>
        <c:auto val="1"/>
        <c:lblAlgn val="ctr"/>
        <c:lblOffset val="100"/>
        <c:noMultiLvlLbl val="0"/>
      </c:catAx>
      <c:valAx>
        <c:axId val="586991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6998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NCR types in cavity inspection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'[L2PRD-NCRs_20200521_Research.xlsx]CAV'!$E$156</c:f>
              <c:strCache>
                <c:ptCount val="1"/>
                <c:pt idx="0">
                  <c:v>Counts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'[L2PRD-NCRs_20200521_Research.xlsx]CAV'!$D$157:$D$163</c:f>
              <c:strCache>
                <c:ptCount val="7"/>
                <c:pt idx="0">
                  <c:v>DIMENSIONAL  </c:v>
                </c:pt>
                <c:pt idx="1">
                  <c:v>OTHER  </c:v>
                </c:pt>
                <c:pt idx="2">
                  <c:v>DINGS  </c:v>
                </c:pt>
                <c:pt idx="3">
                  <c:v>ROUGHNESS  </c:v>
                </c:pt>
                <c:pt idx="4">
                  <c:v>SHIPPINGDAMAGE  </c:v>
                </c:pt>
                <c:pt idx="5">
                  <c:v>RESIDUES  </c:v>
                </c:pt>
                <c:pt idx="6">
                  <c:v>INSPECTIONFAILURE  </c:v>
                </c:pt>
              </c:strCache>
            </c:strRef>
          </c:cat>
          <c:val>
            <c:numRef>
              <c:f>'[L2PRD-NCRs_20200521_Research.xlsx]CAV'!$E$157:$E$163</c:f>
              <c:numCache>
                <c:formatCode>General</c:formatCode>
                <c:ptCount val="7"/>
                <c:pt idx="0">
                  <c:v>83</c:v>
                </c:pt>
                <c:pt idx="1">
                  <c:v>32</c:v>
                </c:pt>
                <c:pt idx="2">
                  <c:v>15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A1-40D6-9A28-4C7946A7A1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7009040"/>
        <c:axId val="587007072"/>
      </c:barChart>
      <c:catAx>
        <c:axId val="587009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7007072"/>
        <c:crosses val="autoZero"/>
        <c:auto val="1"/>
        <c:lblAlgn val="ctr"/>
        <c:lblOffset val="100"/>
        <c:noMultiLvlLbl val="0"/>
      </c:catAx>
      <c:valAx>
        <c:axId val="587007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7009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NCR types in BLXD inspection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'[L2PRD-NCRs_20200521_Research.xlsx]BLXD'!$E$105</c:f>
              <c:strCache>
                <c:ptCount val="1"/>
                <c:pt idx="0">
                  <c:v>Counts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'[L2PRD-NCRs_20200521_Research.xlsx]BLXD'!$D$106:$D$113</c:f>
              <c:strCache>
                <c:ptCount val="8"/>
                <c:pt idx="0">
                  <c:v>SCRATCHES  </c:v>
                </c:pt>
                <c:pt idx="1">
                  <c:v>ROUGHNESS  </c:v>
                </c:pt>
                <c:pt idx="2">
                  <c:v>PLATING  </c:v>
                </c:pt>
                <c:pt idx="3">
                  <c:v>DIMENSIONAL  </c:v>
                </c:pt>
                <c:pt idx="4">
                  <c:v>OTHER  </c:v>
                </c:pt>
                <c:pt idx="5">
                  <c:v>STAINS  </c:v>
                </c:pt>
                <c:pt idx="6">
                  <c:v>DINGS  </c:v>
                </c:pt>
                <c:pt idx="7">
                  <c:v>RESIDUES  </c:v>
                </c:pt>
              </c:strCache>
            </c:strRef>
          </c:cat>
          <c:val>
            <c:numRef>
              <c:f>'[L2PRD-NCRs_20200521_Research.xlsx]BLXD'!$E$106:$E$113</c:f>
              <c:numCache>
                <c:formatCode>General</c:formatCode>
                <c:ptCount val="8"/>
                <c:pt idx="0">
                  <c:v>27</c:v>
                </c:pt>
                <c:pt idx="1">
                  <c:v>26</c:v>
                </c:pt>
                <c:pt idx="2">
                  <c:v>16</c:v>
                </c:pt>
                <c:pt idx="3">
                  <c:v>12</c:v>
                </c:pt>
                <c:pt idx="4">
                  <c:v>12</c:v>
                </c:pt>
                <c:pt idx="5">
                  <c:v>7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F8-492C-B0D6-2A52D69A2F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71958440"/>
        <c:axId val="571953848"/>
      </c:barChart>
      <c:catAx>
        <c:axId val="571958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1953848"/>
        <c:crosses val="autoZero"/>
        <c:auto val="1"/>
        <c:lblAlgn val="ctr"/>
        <c:lblOffset val="100"/>
        <c:noMultiLvlLbl val="0"/>
      </c:catAx>
      <c:valAx>
        <c:axId val="571953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1958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JLAB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Zhao</dc:creator>
  <cp:keywords/>
  <dc:description/>
  <cp:lastModifiedBy>E. Anne McEwen</cp:lastModifiedBy>
  <cp:revision>3</cp:revision>
  <dcterms:created xsi:type="dcterms:W3CDTF">2020-06-12T17:00:00Z</dcterms:created>
  <dcterms:modified xsi:type="dcterms:W3CDTF">2020-06-12T17:20:00Z</dcterms:modified>
</cp:coreProperties>
</file>