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D97B1C" w:rsidRDefault="00F14DDD" w:rsidP="00E9049C">
            <w:r w:rsidRPr="00F14DDD">
              <w:t xml:space="preserve">LCLS-II </w:t>
            </w:r>
            <w:r w:rsidR="00F91799">
              <w:t xml:space="preserve">HE </w:t>
            </w:r>
            <w:r w:rsidR="00E9049C">
              <w:t>Field Probe</w:t>
            </w:r>
            <w:r w:rsidRPr="00F14DDD">
              <w:t xml:space="preserve"> </w:t>
            </w:r>
            <w:proofErr w:type="spellStart"/>
            <w:r w:rsidRPr="00F14DDD">
              <w:t>Feedthru</w:t>
            </w:r>
            <w:proofErr w:type="spellEnd"/>
            <w:r w:rsidRPr="00F14DDD">
              <w:t xml:space="preserve"> Receiving Inspection</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F14DDD" w:rsidP="00EB2FFF">
            <w:r w:rsidRPr="00F14DDD">
              <w:t xml:space="preserve">LCLS-II </w:t>
            </w:r>
            <w:r w:rsidR="00F91799">
              <w:t xml:space="preserve">HE </w:t>
            </w:r>
            <w:r w:rsidR="00EB2FFF" w:rsidRPr="00EB2FFF">
              <w:t xml:space="preserve">Field Probe </w:t>
            </w:r>
            <w:proofErr w:type="spellStart"/>
            <w:r w:rsidRPr="00F14DDD">
              <w:t>feedthru</w:t>
            </w:r>
            <w:proofErr w:type="spellEnd"/>
            <w:r w:rsidRPr="00F14DDD">
              <w:t xml:space="preserve"> receiving </w:t>
            </w:r>
            <w:r w:rsidR="009E1D4D">
              <w:t>inspection traveler, this is for the work center QA.</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FA6CD3" w:rsidP="00F91799">
            <w:r>
              <w:t>L2</w:t>
            </w:r>
            <w:r w:rsidR="00F91799">
              <w:t>HE</w:t>
            </w:r>
            <w:r w:rsidR="00F14DDD" w:rsidRPr="00F14DDD">
              <w:t>-CAV-INSP-</w:t>
            </w:r>
            <w:r w:rsidR="00EB2FFF">
              <w:t>FPF</w:t>
            </w:r>
            <w:r w:rsidR="003E1751">
              <w:t>T</w:t>
            </w:r>
            <w:r w:rsidR="00F91799">
              <w:t>-S1</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F91799" w:rsidP="00D97B1C">
            <w:r>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F14DDD" w:rsidP="00D97B1C">
            <w:r w:rsidRPr="00F14DDD">
              <w:t>HyeKyoung Park</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FA6CD3" w:rsidP="0003586B">
            <w:r>
              <w:t>2</w:t>
            </w:r>
            <w:r w:rsidR="00F91799">
              <w:t>6</w:t>
            </w:r>
            <w:r w:rsidR="00F14DDD" w:rsidRPr="00F14DDD">
              <w:t>-</w:t>
            </w:r>
            <w:r w:rsidR="00F91799">
              <w:t>Mar-2020</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D97B1C" w:rsidRDefault="00F14DDD" w:rsidP="00D97B1C">
            <w:proofErr w:type="spellStart"/>
            <w:r w:rsidRPr="00F14DDD">
              <w:t>hkpark</w:t>
            </w:r>
            <w:proofErr w:type="spellEnd"/>
          </w:p>
        </w:tc>
      </w:tr>
      <w:tr w:rsidR="00766F7D" w:rsidRPr="00D97B1C" w:rsidTr="00A841DF">
        <w:trPr>
          <w:trHeight w:val="288"/>
        </w:trPr>
        <w:tc>
          <w:tcPr>
            <w:tcW w:w="998" w:type="pct"/>
          </w:tcPr>
          <w:p w:rsidR="00766F7D" w:rsidRPr="00D97B1C" w:rsidRDefault="00766F7D" w:rsidP="00D97B1C">
            <w:r w:rsidRPr="00D97B1C">
              <w:t>Approval Names</w:t>
            </w:r>
          </w:p>
        </w:tc>
        <w:tc>
          <w:tcPr>
            <w:tcW w:w="1001" w:type="pct"/>
          </w:tcPr>
          <w:p w:rsidR="00766F7D" w:rsidRPr="00D97B1C" w:rsidRDefault="00F14DDD" w:rsidP="00D97B1C">
            <w:r>
              <w:t>HyeKyoung Park</w:t>
            </w:r>
          </w:p>
        </w:tc>
        <w:tc>
          <w:tcPr>
            <w:tcW w:w="1000" w:type="pct"/>
          </w:tcPr>
          <w:p w:rsidR="00766F7D" w:rsidRPr="00D97B1C" w:rsidRDefault="00F91799" w:rsidP="00F91799">
            <w:r>
              <w:t xml:space="preserve">George </w:t>
            </w:r>
            <w:proofErr w:type="spellStart"/>
            <w:r>
              <w:t>DeKerlegand</w:t>
            </w:r>
            <w:proofErr w:type="spellEnd"/>
          </w:p>
        </w:tc>
        <w:tc>
          <w:tcPr>
            <w:tcW w:w="1000" w:type="pct"/>
          </w:tcPr>
          <w:p w:rsidR="00766F7D" w:rsidRPr="00D97B1C" w:rsidRDefault="00F91799" w:rsidP="00D97B1C">
            <w:r>
              <w:t>Katherine Wilson</w:t>
            </w:r>
          </w:p>
        </w:tc>
        <w:tc>
          <w:tcPr>
            <w:tcW w:w="1001" w:type="pct"/>
          </w:tcPr>
          <w:p w:rsidR="00766F7D" w:rsidRPr="00D97B1C" w:rsidRDefault="00766F7D" w:rsidP="00D97B1C"/>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A841DF">
        <w:trPr>
          <w:trHeight w:val="288"/>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B33221" w:rsidP="00D97B1C">
            <w:r>
              <w:t xml:space="preserve">Work Center </w:t>
            </w:r>
            <w:r w:rsidR="00766F7D"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A80D02" w:rsidP="00F13DAD">
            <w:pPr>
              <w:pStyle w:val="Heading2"/>
            </w:pPr>
            <w:r w:rsidRPr="002307CF">
              <w:rPr>
                <w:rFonts w:ascii="Times New Roman" w:eastAsia="Times New Roman" w:hAnsi="Times New Roman" w:cs="Times New Roman"/>
                <w:color w:val="auto"/>
                <w:sz w:val="22"/>
                <w:szCs w:val="20"/>
              </w:rPr>
              <w:t xml:space="preserve">Drawing </w:t>
            </w:r>
            <w:r w:rsidR="002307CF" w:rsidRPr="002307CF">
              <w:rPr>
                <w:rFonts w:ascii="Times New Roman" w:eastAsia="Times New Roman" w:hAnsi="Times New Roman" w:cs="Times New Roman"/>
                <w:color w:val="auto"/>
                <w:sz w:val="22"/>
                <w:szCs w:val="20"/>
              </w:rPr>
              <w:t>GMM-9434A</w:t>
            </w:r>
          </w:p>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80245E" w:rsidRPr="00D97B1C" w:rsidTr="00A841DF">
        <w:trPr>
          <w:cantSplit/>
        </w:trPr>
        <w:tc>
          <w:tcPr>
            <w:tcW w:w="1000" w:type="pct"/>
          </w:tcPr>
          <w:p w:rsidR="0080245E" w:rsidRPr="00D97B1C" w:rsidRDefault="0080245E" w:rsidP="00D97B1C"/>
        </w:tc>
        <w:tc>
          <w:tcPr>
            <w:tcW w:w="4000" w:type="pct"/>
          </w:tcPr>
          <w:p w:rsidR="0080245E" w:rsidRPr="00D97B1C" w:rsidRDefault="0080245E" w:rsidP="00D97B1C"/>
        </w:tc>
      </w:tr>
      <w:tr w:rsidR="0003586B" w:rsidRPr="00D97B1C" w:rsidTr="00A841DF">
        <w:trPr>
          <w:cantSplit/>
        </w:trPr>
        <w:tc>
          <w:tcPr>
            <w:tcW w:w="1000" w:type="pct"/>
          </w:tcPr>
          <w:p w:rsidR="0003586B" w:rsidRDefault="0003586B" w:rsidP="00D97B1C"/>
        </w:tc>
        <w:tc>
          <w:tcPr>
            <w:tcW w:w="4000" w:type="pct"/>
          </w:tcPr>
          <w:p w:rsidR="0003586B" w:rsidRDefault="0003586B" w:rsidP="00D97B1C"/>
        </w:tc>
      </w:tr>
      <w:tr w:rsidR="00D22861" w:rsidRPr="00D97B1C" w:rsidTr="00A841DF">
        <w:trPr>
          <w:cantSplit/>
        </w:trPr>
        <w:tc>
          <w:tcPr>
            <w:tcW w:w="1000" w:type="pct"/>
          </w:tcPr>
          <w:p w:rsidR="00D22861" w:rsidRDefault="00D22861" w:rsidP="00D97B1C"/>
        </w:tc>
        <w:tc>
          <w:tcPr>
            <w:tcW w:w="4000" w:type="pct"/>
          </w:tcPr>
          <w:p w:rsidR="00BA3F4C" w:rsidRDefault="00BA3F4C" w:rsidP="00D97B1C"/>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18"/>
        <w:gridCol w:w="4043"/>
        <w:gridCol w:w="2877"/>
        <w:gridCol w:w="5412"/>
      </w:tblGrid>
      <w:tr w:rsidR="007D458D" w:rsidRPr="00D97B1C" w:rsidTr="00BA3F4C">
        <w:trPr>
          <w:trHeight w:val="288"/>
        </w:trPr>
        <w:tc>
          <w:tcPr>
            <w:tcW w:w="627" w:type="dxa"/>
          </w:tcPr>
          <w:p w:rsidR="007D458D" w:rsidRPr="00D97B1C" w:rsidRDefault="007D458D" w:rsidP="00D97B1C">
            <w:r w:rsidRPr="00D97B1C">
              <w:lastRenderedPageBreak/>
              <w:t>Step No.</w:t>
            </w:r>
          </w:p>
        </w:tc>
        <w:tc>
          <w:tcPr>
            <w:tcW w:w="7091" w:type="dxa"/>
            <w:gridSpan w:val="2"/>
          </w:tcPr>
          <w:p w:rsidR="007D458D" w:rsidRPr="00D97B1C" w:rsidRDefault="007D458D" w:rsidP="00D97B1C">
            <w:r w:rsidRPr="00D97B1C">
              <w:t>Instructions</w:t>
            </w:r>
          </w:p>
        </w:tc>
        <w:tc>
          <w:tcPr>
            <w:tcW w:w="5472" w:type="dxa"/>
            <w:noWrap/>
          </w:tcPr>
          <w:p w:rsidR="007D458D" w:rsidRPr="00D97B1C" w:rsidRDefault="007D458D" w:rsidP="00D97B1C">
            <w:r w:rsidRPr="00D97B1C">
              <w:t>Data Input</w:t>
            </w:r>
          </w:p>
        </w:tc>
      </w:tr>
      <w:tr w:rsidR="00187FA0" w:rsidRPr="00D97B1C" w:rsidTr="00BA3F4C">
        <w:trPr>
          <w:trHeight w:val="288"/>
        </w:trPr>
        <w:tc>
          <w:tcPr>
            <w:tcW w:w="627" w:type="dxa"/>
          </w:tcPr>
          <w:p w:rsidR="00187FA0" w:rsidRPr="00D97B1C" w:rsidRDefault="00187FA0" w:rsidP="00002A99"/>
        </w:tc>
        <w:tc>
          <w:tcPr>
            <w:tcW w:w="7091" w:type="dxa"/>
            <w:gridSpan w:val="2"/>
          </w:tcPr>
          <w:p w:rsidR="00187FA0" w:rsidRPr="002C1BC1" w:rsidRDefault="002E586D" w:rsidP="002E586D">
            <w:pPr>
              <w:rPr>
                <w:color w:val="0070C0"/>
              </w:rPr>
            </w:pPr>
            <w:r>
              <w:rPr>
                <w:b/>
                <w:color w:val="0070C0"/>
              </w:rPr>
              <w:t>Pick up feedthrough (field probe)</w:t>
            </w:r>
            <w:r w:rsidR="00187FA0" w:rsidRPr="002C1BC1">
              <w:rPr>
                <w:b/>
                <w:color w:val="0070C0"/>
              </w:rPr>
              <w:t xml:space="preserve"> is an </w:t>
            </w:r>
            <w:proofErr w:type="spellStart"/>
            <w:r w:rsidR="00187FA0" w:rsidRPr="002C1BC1">
              <w:rPr>
                <w:b/>
                <w:color w:val="0070C0"/>
              </w:rPr>
              <w:t>ultra high</w:t>
            </w:r>
            <w:proofErr w:type="spellEnd"/>
            <w:r w:rsidR="00187FA0" w:rsidRPr="002C1BC1">
              <w:rPr>
                <w:b/>
                <w:color w:val="0070C0"/>
              </w:rPr>
              <w:t xml:space="preserve"> vacuum component. </w:t>
            </w:r>
            <w:r w:rsidR="00187FA0" w:rsidRPr="002C1BC1">
              <w:rPr>
                <w:b/>
                <w:color w:val="C00000"/>
              </w:rPr>
              <w:t xml:space="preserve">Wear talc free latex or Nitrile gloves at all times </w:t>
            </w:r>
            <w:r w:rsidR="00187FA0" w:rsidRPr="002C1BC1">
              <w:rPr>
                <w:b/>
                <w:color w:val="0070C0"/>
              </w:rPr>
              <w:t>when handling this component</w:t>
            </w:r>
            <w:r w:rsidR="00187FA0" w:rsidRPr="002C1BC1">
              <w:rPr>
                <w:color w:val="0070C0"/>
              </w:rPr>
              <w:t>.</w:t>
            </w:r>
          </w:p>
        </w:tc>
        <w:tc>
          <w:tcPr>
            <w:tcW w:w="5472" w:type="dxa"/>
            <w:noWrap/>
          </w:tcPr>
          <w:p w:rsidR="00187FA0" w:rsidRPr="002C1BC1" w:rsidRDefault="00187FA0" w:rsidP="00002A99"/>
        </w:tc>
      </w:tr>
      <w:tr w:rsidR="00187FA0" w:rsidRPr="00D97B1C" w:rsidTr="00BA3F4C">
        <w:trPr>
          <w:trHeight w:val="288"/>
        </w:trPr>
        <w:tc>
          <w:tcPr>
            <w:tcW w:w="627" w:type="dxa"/>
            <w:shd w:val="clear" w:color="auto" w:fill="B6DDE8" w:themeFill="accent5" w:themeFillTint="66"/>
          </w:tcPr>
          <w:p w:rsidR="00187FA0" w:rsidRPr="00EA22D6" w:rsidRDefault="00187FA0" w:rsidP="00002A99">
            <w:pPr>
              <w:rPr>
                <w:b/>
                <w:sz w:val="28"/>
              </w:rPr>
            </w:pPr>
          </w:p>
        </w:tc>
        <w:tc>
          <w:tcPr>
            <w:tcW w:w="7091" w:type="dxa"/>
            <w:gridSpan w:val="2"/>
            <w:shd w:val="clear" w:color="auto" w:fill="B6DDE8" w:themeFill="accent5" w:themeFillTint="66"/>
          </w:tcPr>
          <w:p w:rsidR="00187FA0" w:rsidRPr="00EA22D6" w:rsidRDefault="00187FA0" w:rsidP="00002A99">
            <w:pPr>
              <w:rPr>
                <w:b/>
                <w:sz w:val="28"/>
              </w:rPr>
            </w:pPr>
            <w:r w:rsidRPr="00EA22D6">
              <w:rPr>
                <w:b/>
                <w:sz w:val="28"/>
              </w:rPr>
              <w:t>CMM Room Inspections</w:t>
            </w:r>
          </w:p>
        </w:tc>
        <w:tc>
          <w:tcPr>
            <w:tcW w:w="5472" w:type="dxa"/>
            <w:shd w:val="clear" w:color="auto" w:fill="B6DDE8" w:themeFill="accent5" w:themeFillTint="66"/>
            <w:noWrap/>
          </w:tcPr>
          <w:p w:rsidR="00187FA0" w:rsidRPr="00EA22D6" w:rsidRDefault="00187FA0" w:rsidP="00002A99">
            <w:pPr>
              <w:rPr>
                <w:b/>
                <w:sz w:val="28"/>
              </w:rPr>
            </w:pPr>
          </w:p>
        </w:tc>
      </w:tr>
      <w:tr w:rsidR="00187FA0" w:rsidRPr="00D97B1C" w:rsidTr="00BA3F4C">
        <w:trPr>
          <w:trHeight w:val="288"/>
        </w:trPr>
        <w:tc>
          <w:tcPr>
            <w:tcW w:w="627" w:type="dxa"/>
          </w:tcPr>
          <w:p w:rsidR="00187FA0" w:rsidRPr="00D97B1C" w:rsidRDefault="00187FA0" w:rsidP="00D97B1C">
            <w:r>
              <w:t>1</w:t>
            </w:r>
          </w:p>
        </w:tc>
        <w:tc>
          <w:tcPr>
            <w:tcW w:w="7091" w:type="dxa"/>
            <w:gridSpan w:val="2"/>
          </w:tcPr>
          <w:p w:rsidR="00187FA0" w:rsidRPr="00F14DDD" w:rsidRDefault="00187FA0" w:rsidP="00F14DDD">
            <w:r w:rsidRPr="00F14DDD">
              <w:t>Visual inspection</w:t>
            </w:r>
            <w:r>
              <w:t xml:space="preserve"> [CMM Room]</w:t>
            </w:r>
          </w:p>
          <w:p w:rsidR="00187FA0" w:rsidRDefault="00901864" w:rsidP="00F14DDD">
            <w:pPr>
              <w:numPr>
                <w:ilvl w:val="0"/>
                <w:numId w:val="1"/>
              </w:numPr>
            </w:pPr>
            <w:r>
              <w:t>Select a</w:t>
            </w:r>
            <w:r w:rsidR="00187FA0">
              <w:t xml:space="preserve"> serial number</w:t>
            </w:r>
            <w:r w:rsidR="00F91799">
              <w:t xml:space="preserve"> from the dropdown menu.</w:t>
            </w:r>
          </w:p>
          <w:p w:rsidR="00187FA0" w:rsidRPr="00F14DDD" w:rsidRDefault="00187FA0" w:rsidP="00F14DDD">
            <w:pPr>
              <w:numPr>
                <w:ilvl w:val="0"/>
                <w:numId w:val="1"/>
              </w:numPr>
            </w:pPr>
            <w:r w:rsidRPr="00F14DDD">
              <w:t>Enter inspector name and date.</w:t>
            </w:r>
          </w:p>
          <w:p w:rsidR="00187FA0" w:rsidRPr="00F14DDD" w:rsidRDefault="00187FA0" w:rsidP="00F14DDD">
            <w:pPr>
              <w:numPr>
                <w:ilvl w:val="0"/>
                <w:numId w:val="1"/>
              </w:numPr>
            </w:pPr>
            <w:r w:rsidRPr="00F14DDD">
              <w:t>Is part clean, free from dust, oil, finger prints, or brazing residue?</w:t>
            </w:r>
          </w:p>
          <w:p w:rsidR="00187FA0" w:rsidRPr="00F14DDD" w:rsidRDefault="00187FA0" w:rsidP="00F14DDD">
            <w:pPr>
              <w:numPr>
                <w:ilvl w:val="0"/>
                <w:numId w:val="1"/>
              </w:numPr>
            </w:pPr>
            <w:r w:rsidRPr="00F14DDD">
              <w:t>Gasket sealing surface: smooth, free from burrs or nicks?</w:t>
            </w:r>
          </w:p>
          <w:p w:rsidR="00187FA0" w:rsidRPr="00F14DDD" w:rsidRDefault="00187FA0" w:rsidP="00F14DDD">
            <w:pPr>
              <w:numPr>
                <w:ilvl w:val="0"/>
                <w:numId w:val="1"/>
              </w:numPr>
              <w:rPr>
                <w:b/>
              </w:rPr>
            </w:pPr>
            <w:r w:rsidRPr="00F14DDD">
              <w:t xml:space="preserve">Sapphire: free from cracks? Is </w:t>
            </w:r>
            <w:proofErr w:type="spellStart"/>
            <w:r w:rsidRPr="00F14DDD">
              <w:t>thereexcess</w:t>
            </w:r>
            <w:proofErr w:type="spellEnd"/>
            <w:r w:rsidRPr="00F14DDD">
              <w:t xml:space="preserve"> of braze material on the surface of </w:t>
            </w:r>
            <w:proofErr w:type="spellStart"/>
            <w:r w:rsidRPr="00F14DDD">
              <w:t>spphire</w:t>
            </w:r>
            <w:proofErr w:type="spellEnd"/>
            <w:r w:rsidRPr="00F14DDD">
              <w:t xml:space="preserve">? </w:t>
            </w:r>
          </w:p>
          <w:p w:rsidR="00187FA0" w:rsidRPr="00F14DDD" w:rsidRDefault="00187FA0" w:rsidP="00F14DDD">
            <w:pPr>
              <w:numPr>
                <w:ilvl w:val="0"/>
                <w:numId w:val="1"/>
              </w:numPr>
              <w:rPr>
                <w:b/>
              </w:rPr>
            </w:pPr>
            <w:r w:rsidRPr="00F14DDD">
              <w:t>Surface of probe: free from scratches</w:t>
            </w:r>
            <w:r>
              <w:t xml:space="preserve"> or stain</w:t>
            </w:r>
            <w:r w:rsidRPr="00F14DDD">
              <w:t>?</w:t>
            </w:r>
          </w:p>
          <w:p w:rsidR="00187FA0" w:rsidRPr="00F14DDD" w:rsidRDefault="00187FA0" w:rsidP="00F14DDD">
            <w:pPr>
              <w:rPr>
                <w:b/>
              </w:rPr>
            </w:pPr>
            <w:r>
              <w:t>The part passed the visual inspection?</w:t>
            </w:r>
          </w:p>
          <w:p w:rsidR="00187FA0" w:rsidRPr="00D97B1C" w:rsidRDefault="00F91799" w:rsidP="00C1250D">
            <w:r>
              <w:t xml:space="preserve">Provide comments </w:t>
            </w:r>
            <w:r w:rsidR="00C1250D">
              <w:t xml:space="preserve">and pictures </w:t>
            </w:r>
            <w:r>
              <w:t xml:space="preserve">if any. </w:t>
            </w:r>
            <w:r w:rsidR="00187FA0" w:rsidRPr="00F14DDD">
              <w:t>If the part does not pass visual inspection</w:t>
            </w:r>
            <w:r w:rsidR="00187FA0">
              <w:t xml:space="preserve">, </w:t>
            </w:r>
            <w:r w:rsidR="00C1250D">
              <w:t xml:space="preserve">generate NCR. </w:t>
            </w:r>
          </w:p>
        </w:tc>
        <w:tc>
          <w:tcPr>
            <w:tcW w:w="5472" w:type="dxa"/>
            <w:noWrap/>
          </w:tcPr>
          <w:p w:rsidR="00187FA0" w:rsidRDefault="00187FA0" w:rsidP="00D97B1C">
            <w:r>
              <w:t>[[FPFTSN]] &lt;&lt;FPFTSN&gt;&gt;</w:t>
            </w:r>
          </w:p>
          <w:p w:rsidR="00187FA0" w:rsidRDefault="00187FA0" w:rsidP="00D97B1C">
            <w:r>
              <w:t>[[</w:t>
            </w:r>
            <w:proofErr w:type="spellStart"/>
            <w:r>
              <w:t>Insp_NAME_SRF</w:t>
            </w:r>
            <w:proofErr w:type="spellEnd"/>
            <w:r>
              <w:t>]] &lt;&lt;SRF&gt;&gt;</w:t>
            </w:r>
          </w:p>
          <w:p w:rsidR="00187FA0" w:rsidRDefault="00187FA0" w:rsidP="00D97B1C">
            <w:r>
              <w:t>[[</w:t>
            </w:r>
            <w:proofErr w:type="spellStart"/>
            <w:r>
              <w:t>Insp_Date</w:t>
            </w:r>
            <w:proofErr w:type="spellEnd"/>
            <w:r>
              <w:t>]] &lt;&lt;TIMESTAMP&gt;&gt;</w:t>
            </w:r>
          </w:p>
          <w:p w:rsidR="00187FA0" w:rsidRDefault="00187FA0" w:rsidP="00D97B1C">
            <w:r>
              <w:t>[[</w:t>
            </w:r>
            <w:proofErr w:type="spellStart"/>
            <w:r>
              <w:t>Vis_Pass</w:t>
            </w:r>
            <w:proofErr w:type="spellEnd"/>
            <w:r>
              <w:t>]] &lt;&lt;YESNO&gt;&gt;</w:t>
            </w:r>
          </w:p>
          <w:p w:rsidR="00187FA0" w:rsidRDefault="00187FA0" w:rsidP="00D97B1C">
            <w:r>
              <w:t>[[</w:t>
            </w:r>
            <w:proofErr w:type="spellStart"/>
            <w:r>
              <w:t>Vis_Comment</w:t>
            </w:r>
            <w:proofErr w:type="spellEnd"/>
            <w:r>
              <w:t>]] &lt;&lt;COMMENT&gt;&gt;</w:t>
            </w:r>
          </w:p>
          <w:p w:rsidR="00187FA0" w:rsidRPr="00D97B1C" w:rsidRDefault="00187FA0" w:rsidP="00F14DDD">
            <w:r>
              <w:t>[[</w:t>
            </w:r>
            <w:proofErr w:type="spellStart"/>
            <w:r>
              <w:t>Vis_Pics</w:t>
            </w:r>
            <w:proofErr w:type="spellEnd"/>
            <w:r>
              <w:t>]] &lt;&lt;FILEUPLOAD&gt;&gt;</w:t>
            </w:r>
          </w:p>
        </w:tc>
      </w:tr>
      <w:tr w:rsidR="00187FA0" w:rsidRPr="00D97B1C" w:rsidTr="00BA3F4C">
        <w:trPr>
          <w:trHeight w:val="288"/>
        </w:trPr>
        <w:tc>
          <w:tcPr>
            <w:tcW w:w="627" w:type="dxa"/>
          </w:tcPr>
          <w:p w:rsidR="00187FA0" w:rsidRPr="00D97B1C" w:rsidRDefault="00187FA0" w:rsidP="00D97B1C">
            <w:r>
              <w:t>2</w:t>
            </w:r>
          </w:p>
        </w:tc>
        <w:tc>
          <w:tcPr>
            <w:tcW w:w="7091" w:type="dxa"/>
            <w:gridSpan w:val="2"/>
          </w:tcPr>
          <w:p w:rsidR="00187FA0" w:rsidRPr="00F14DDD" w:rsidRDefault="00187FA0" w:rsidP="00F14DDD">
            <w:pPr>
              <w:rPr>
                <w:b/>
              </w:rPr>
            </w:pPr>
            <w:r>
              <w:t xml:space="preserve">Connector and pin </w:t>
            </w:r>
            <w:r w:rsidRPr="00F14DDD">
              <w:t xml:space="preserve">checks </w:t>
            </w:r>
            <w:r>
              <w:t>[CMM Room]</w:t>
            </w:r>
          </w:p>
          <w:p w:rsidR="00187FA0" w:rsidRPr="00F14DDD" w:rsidRDefault="00187FA0" w:rsidP="00EE6ED2">
            <w:pPr>
              <w:pStyle w:val="ListParagraph"/>
              <w:numPr>
                <w:ilvl w:val="0"/>
                <w:numId w:val="2"/>
              </w:numPr>
            </w:pPr>
            <w:r w:rsidRPr="00EE6ED2">
              <w:t xml:space="preserve">Check thread fit with a standard </w:t>
            </w:r>
            <w:r>
              <w:t>SMA</w:t>
            </w:r>
            <w:r w:rsidRPr="00EE6ED2">
              <w:t xml:space="preserve"> type connector.</w:t>
            </w:r>
          </w:p>
          <w:p w:rsidR="00187FA0" w:rsidRPr="00F14DDD" w:rsidRDefault="00187FA0" w:rsidP="00F14DDD">
            <w:pPr>
              <w:numPr>
                <w:ilvl w:val="0"/>
                <w:numId w:val="2"/>
              </w:numPr>
            </w:pPr>
            <w:r w:rsidRPr="00F14DDD">
              <w:t xml:space="preserve">Check the </w:t>
            </w:r>
            <w:proofErr w:type="gramStart"/>
            <w:r w:rsidRPr="00F14DDD">
              <w:t>pin’s</w:t>
            </w:r>
            <w:proofErr w:type="gramEnd"/>
            <w:r w:rsidRPr="00F14DDD">
              <w:t xml:space="preserve"> braze integrity with a tweezer. There should be no rotation or axial movement but lateral flexibility is acceptable. </w:t>
            </w:r>
          </w:p>
          <w:p w:rsidR="00187FA0" w:rsidRPr="00D97B1C" w:rsidRDefault="00187FA0" w:rsidP="00EE6ED2">
            <w:r w:rsidRPr="00F14DDD">
              <w:t>Provide comments if any</w:t>
            </w:r>
            <w:r>
              <w:t xml:space="preserve"> abnormality is observed</w:t>
            </w:r>
            <w:r w:rsidRPr="00F14DDD">
              <w:t>.</w:t>
            </w:r>
          </w:p>
        </w:tc>
        <w:tc>
          <w:tcPr>
            <w:tcW w:w="5472" w:type="dxa"/>
            <w:noWrap/>
          </w:tcPr>
          <w:p w:rsidR="00187FA0" w:rsidRDefault="00187FA0" w:rsidP="00D97B1C">
            <w:r>
              <w:t>[[</w:t>
            </w:r>
            <w:proofErr w:type="spellStart"/>
            <w:r>
              <w:t>Thread_fit_pass</w:t>
            </w:r>
            <w:proofErr w:type="spellEnd"/>
            <w:r>
              <w:t>]] &lt;&lt;YESNO&gt;&gt;</w:t>
            </w:r>
          </w:p>
          <w:p w:rsidR="00187FA0" w:rsidRDefault="00187FA0" w:rsidP="00D97B1C">
            <w:r>
              <w:t>[[</w:t>
            </w:r>
            <w:proofErr w:type="spellStart"/>
            <w:r>
              <w:t>Pin_braze_pass</w:t>
            </w:r>
            <w:proofErr w:type="spellEnd"/>
            <w:r>
              <w:t>]] &lt;&lt;YESNO&gt;&gt;</w:t>
            </w:r>
          </w:p>
          <w:p w:rsidR="00187FA0" w:rsidRPr="00D97B1C" w:rsidRDefault="00187FA0" w:rsidP="00D97B1C">
            <w:r>
              <w:t>[[</w:t>
            </w:r>
            <w:proofErr w:type="spellStart"/>
            <w:r>
              <w:t>Conn_pin_comment</w:t>
            </w:r>
            <w:proofErr w:type="spellEnd"/>
            <w:r>
              <w:t>]] &lt;&lt;COMMENT&gt;&gt;</w:t>
            </w:r>
          </w:p>
        </w:tc>
      </w:tr>
      <w:tr w:rsidR="00187FA0" w:rsidRPr="00D97B1C" w:rsidTr="00BA3F4C">
        <w:trPr>
          <w:trHeight w:val="288"/>
        </w:trPr>
        <w:tc>
          <w:tcPr>
            <w:tcW w:w="627" w:type="dxa"/>
          </w:tcPr>
          <w:p w:rsidR="00187FA0" w:rsidRDefault="00187FA0" w:rsidP="00D97B1C">
            <w:r>
              <w:t>3</w:t>
            </w:r>
          </w:p>
        </w:tc>
        <w:tc>
          <w:tcPr>
            <w:tcW w:w="7091" w:type="dxa"/>
            <w:gridSpan w:val="2"/>
          </w:tcPr>
          <w:p w:rsidR="00187FA0" w:rsidRDefault="00187FA0" w:rsidP="00F14DDD">
            <w:r w:rsidRPr="00EE6ED2">
              <w:t>Dimensional checks</w:t>
            </w:r>
            <w:r>
              <w:t xml:space="preserve"> [CMM Room]</w:t>
            </w:r>
          </w:p>
          <w:p w:rsidR="00187FA0" w:rsidRDefault="00E80F86" w:rsidP="00F14DDD">
            <w:r>
              <w:rPr>
                <w:noProof/>
              </w:rPr>
              <w:lastRenderedPageBreak/>
              <w:drawing>
                <wp:inline distT="0" distB="0" distL="0" distR="0" wp14:anchorId="6AFEC9D3" wp14:editId="4B919EFC">
                  <wp:extent cx="4295775" cy="3608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95775" cy="3608267"/>
                          </a:xfrm>
                          <a:prstGeom prst="rect">
                            <a:avLst/>
                          </a:prstGeom>
                        </pic:spPr>
                      </pic:pic>
                    </a:graphicData>
                  </a:graphic>
                </wp:inline>
              </w:drawing>
            </w:r>
          </w:p>
          <w:p w:rsidR="00B82F48" w:rsidRDefault="00B82F48" w:rsidP="00F14DDD"/>
        </w:tc>
        <w:tc>
          <w:tcPr>
            <w:tcW w:w="5472" w:type="dxa"/>
            <w:noWrap/>
          </w:tcPr>
          <w:p w:rsidR="00187FA0" w:rsidRDefault="00187FA0" w:rsidP="00D97B1C"/>
        </w:tc>
      </w:tr>
      <w:tr w:rsidR="00187FA0" w:rsidRPr="00D97B1C" w:rsidTr="00BA3F4C">
        <w:trPr>
          <w:trHeight w:val="288"/>
        </w:trPr>
        <w:tc>
          <w:tcPr>
            <w:tcW w:w="627" w:type="dxa"/>
          </w:tcPr>
          <w:p w:rsidR="00187FA0" w:rsidRDefault="00187FA0" w:rsidP="00D97B1C"/>
        </w:tc>
        <w:tc>
          <w:tcPr>
            <w:tcW w:w="4087" w:type="dxa"/>
          </w:tcPr>
          <w:p w:rsidR="00187FA0" w:rsidRPr="00EE6ED2" w:rsidRDefault="00187FA0" w:rsidP="00F14DDD">
            <w:r w:rsidRPr="0080401C">
              <w:t>Description</w:t>
            </w:r>
          </w:p>
        </w:tc>
        <w:tc>
          <w:tcPr>
            <w:tcW w:w="3004" w:type="dxa"/>
          </w:tcPr>
          <w:p w:rsidR="00187FA0" w:rsidRPr="00EE6ED2" w:rsidRDefault="00187FA0" w:rsidP="00F14DDD">
            <w:r w:rsidRPr="0080401C">
              <w:t>Specified Dimensions: unit in mm (Min/Max)</w:t>
            </w:r>
          </w:p>
        </w:tc>
        <w:tc>
          <w:tcPr>
            <w:tcW w:w="5472" w:type="dxa"/>
            <w:noWrap/>
          </w:tcPr>
          <w:p w:rsidR="00187FA0" w:rsidRDefault="00187FA0" w:rsidP="00D97B1C"/>
        </w:tc>
      </w:tr>
      <w:tr w:rsidR="00187FA0" w:rsidRPr="00D97B1C" w:rsidTr="00BA3F4C">
        <w:trPr>
          <w:trHeight w:val="288"/>
        </w:trPr>
        <w:tc>
          <w:tcPr>
            <w:tcW w:w="627" w:type="dxa"/>
          </w:tcPr>
          <w:p w:rsidR="00187FA0" w:rsidRDefault="00187FA0" w:rsidP="00D97B1C"/>
        </w:tc>
        <w:tc>
          <w:tcPr>
            <w:tcW w:w="4087" w:type="dxa"/>
          </w:tcPr>
          <w:p w:rsidR="00187FA0" w:rsidRPr="00EE6ED2" w:rsidRDefault="00187FA0" w:rsidP="00F14DDD">
            <w:r w:rsidRPr="00EE6ED2">
              <w:t>Flange seal surface to probe tip</w:t>
            </w:r>
          </w:p>
        </w:tc>
        <w:tc>
          <w:tcPr>
            <w:tcW w:w="3004" w:type="dxa"/>
          </w:tcPr>
          <w:p w:rsidR="00187FA0" w:rsidRPr="00EE6ED2" w:rsidRDefault="00187FA0" w:rsidP="00D22861">
            <w:r w:rsidRPr="00F62A06">
              <w:t>1</w:t>
            </w:r>
            <w:r w:rsidR="00D22861">
              <w:t>1.0</w:t>
            </w:r>
            <w:r w:rsidRPr="00F62A06">
              <w:t>/1</w:t>
            </w:r>
            <w:r w:rsidR="00D22861">
              <w:t>1.2</w:t>
            </w:r>
          </w:p>
        </w:tc>
        <w:tc>
          <w:tcPr>
            <w:tcW w:w="5472" w:type="dxa"/>
            <w:noWrap/>
          </w:tcPr>
          <w:p w:rsidR="00187FA0" w:rsidRDefault="00187FA0" w:rsidP="0080401C">
            <w:r w:rsidRPr="0080401C">
              <w:t>[[</w:t>
            </w:r>
            <w:proofErr w:type="spellStart"/>
            <w:r w:rsidRPr="0080401C">
              <w:t>Dim_</w:t>
            </w:r>
            <w:r>
              <w:t>seal</w:t>
            </w:r>
            <w:r w:rsidRPr="0080401C">
              <w:t>_</w:t>
            </w:r>
            <w:r>
              <w:t>to_tip</w:t>
            </w:r>
            <w:proofErr w:type="spellEnd"/>
            <w:r w:rsidRPr="0080401C">
              <w:t>]] &lt;&lt;FLOAT&gt;&gt;</w:t>
            </w:r>
          </w:p>
        </w:tc>
      </w:tr>
      <w:tr w:rsidR="00187FA0" w:rsidRPr="00D97B1C" w:rsidTr="00BA3F4C">
        <w:trPr>
          <w:trHeight w:val="288"/>
        </w:trPr>
        <w:tc>
          <w:tcPr>
            <w:tcW w:w="627" w:type="dxa"/>
          </w:tcPr>
          <w:p w:rsidR="00187FA0" w:rsidRDefault="00187FA0" w:rsidP="00D97B1C"/>
        </w:tc>
        <w:tc>
          <w:tcPr>
            <w:tcW w:w="4087" w:type="dxa"/>
          </w:tcPr>
          <w:p w:rsidR="00187FA0" w:rsidRPr="00EE6ED2" w:rsidRDefault="00187FA0" w:rsidP="00F14DDD">
            <w:r w:rsidRPr="0080401C">
              <w:t>Probe tip diameter</w:t>
            </w:r>
          </w:p>
        </w:tc>
        <w:tc>
          <w:tcPr>
            <w:tcW w:w="3004" w:type="dxa"/>
          </w:tcPr>
          <w:p w:rsidR="00187FA0" w:rsidRPr="00EE6ED2" w:rsidRDefault="00187FA0" w:rsidP="00F14DDD">
            <w:r w:rsidRPr="00F62A06">
              <w:t>3.2/3.4</w:t>
            </w:r>
          </w:p>
        </w:tc>
        <w:tc>
          <w:tcPr>
            <w:tcW w:w="5472" w:type="dxa"/>
            <w:noWrap/>
          </w:tcPr>
          <w:p w:rsidR="00187FA0" w:rsidRDefault="00187FA0" w:rsidP="00D97B1C">
            <w:r>
              <w:t>[[</w:t>
            </w:r>
            <w:proofErr w:type="spellStart"/>
            <w:r>
              <w:t>Dim_probe_dia</w:t>
            </w:r>
            <w:proofErr w:type="spellEnd"/>
            <w:r>
              <w:t>]] &lt;&lt;FLOAT&gt;&gt;</w:t>
            </w:r>
          </w:p>
        </w:tc>
      </w:tr>
    </w:tbl>
    <w:p w:rsidR="00187FA0" w:rsidRDefault="00187FA0"/>
    <w:p w:rsidR="00187FA0" w:rsidRDefault="00187FA0" w:rsidP="00187FA0">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61"/>
        <w:gridCol w:w="67"/>
        <w:gridCol w:w="6650"/>
        <w:gridCol w:w="5472"/>
      </w:tblGrid>
      <w:tr w:rsidR="00187FA0" w:rsidRPr="00D97B1C" w:rsidTr="00CE68C6">
        <w:trPr>
          <w:trHeight w:val="288"/>
        </w:trPr>
        <w:tc>
          <w:tcPr>
            <w:tcW w:w="761" w:type="dxa"/>
          </w:tcPr>
          <w:p w:rsidR="00187FA0" w:rsidRPr="00D97B1C" w:rsidRDefault="00187FA0" w:rsidP="00002A99">
            <w:r w:rsidRPr="00D97B1C">
              <w:lastRenderedPageBreak/>
              <w:t>Step No.</w:t>
            </w:r>
          </w:p>
        </w:tc>
        <w:tc>
          <w:tcPr>
            <w:tcW w:w="6717" w:type="dxa"/>
            <w:gridSpan w:val="2"/>
          </w:tcPr>
          <w:p w:rsidR="00187FA0" w:rsidRPr="00D97B1C" w:rsidRDefault="00187FA0" w:rsidP="00002A99">
            <w:r w:rsidRPr="00D97B1C">
              <w:t>Instructions</w:t>
            </w:r>
          </w:p>
        </w:tc>
        <w:tc>
          <w:tcPr>
            <w:tcW w:w="5472" w:type="dxa"/>
            <w:noWrap/>
          </w:tcPr>
          <w:p w:rsidR="00187FA0" w:rsidRPr="002C1BC1" w:rsidRDefault="00187FA0" w:rsidP="00002A99">
            <w:r w:rsidRPr="002C1BC1">
              <w:t>Data Input</w:t>
            </w:r>
          </w:p>
        </w:tc>
      </w:tr>
      <w:tr w:rsidR="00187FA0" w:rsidRPr="00D97B1C" w:rsidTr="00CE68C6">
        <w:trPr>
          <w:trHeight w:val="288"/>
        </w:trPr>
        <w:tc>
          <w:tcPr>
            <w:tcW w:w="828" w:type="dxa"/>
            <w:gridSpan w:val="2"/>
            <w:shd w:val="clear" w:color="auto" w:fill="E5B8B7" w:themeFill="accent2" w:themeFillTint="66"/>
          </w:tcPr>
          <w:p w:rsidR="00187FA0" w:rsidRDefault="00187FA0" w:rsidP="00D97B1C"/>
        </w:tc>
        <w:tc>
          <w:tcPr>
            <w:tcW w:w="6650" w:type="dxa"/>
            <w:shd w:val="clear" w:color="auto" w:fill="E5B8B7" w:themeFill="accent2" w:themeFillTint="66"/>
          </w:tcPr>
          <w:p w:rsidR="00187FA0" w:rsidRPr="00187FA0" w:rsidRDefault="00187FA0" w:rsidP="005F012F">
            <w:pPr>
              <w:rPr>
                <w:b/>
                <w:color w:val="C00000"/>
                <w:sz w:val="28"/>
              </w:rPr>
            </w:pPr>
            <w:r w:rsidRPr="00EA22D6">
              <w:rPr>
                <w:b/>
                <w:color w:val="C00000"/>
                <w:sz w:val="28"/>
              </w:rPr>
              <w:t>QC Review</w:t>
            </w:r>
          </w:p>
        </w:tc>
        <w:tc>
          <w:tcPr>
            <w:tcW w:w="5472" w:type="dxa"/>
            <w:shd w:val="clear" w:color="auto" w:fill="E5B8B7" w:themeFill="accent2" w:themeFillTint="66"/>
            <w:noWrap/>
          </w:tcPr>
          <w:p w:rsidR="00187FA0" w:rsidRDefault="00187FA0" w:rsidP="00D97B1C"/>
        </w:tc>
      </w:tr>
      <w:tr w:rsidR="00187FA0" w:rsidRPr="00D97B1C" w:rsidTr="00CE68C6">
        <w:trPr>
          <w:trHeight w:val="288"/>
        </w:trPr>
        <w:tc>
          <w:tcPr>
            <w:tcW w:w="828" w:type="dxa"/>
            <w:gridSpan w:val="2"/>
          </w:tcPr>
          <w:p w:rsidR="00187FA0" w:rsidRDefault="00B72814" w:rsidP="00D97B1C">
            <w:r>
              <w:t>4</w:t>
            </w:r>
            <w:bookmarkStart w:id="0" w:name="_GoBack"/>
            <w:bookmarkEnd w:id="0"/>
          </w:p>
        </w:tc>
        <w:tc>
          <w:tcPr>
            <w:tcW w:w="6650" w:type="dxa"/>
          </w:tcPr>
          <w:p w:rsidR="00CE68C6" w:rsidRDefault="00CE68C6" w:rsidP="005F012F">
            <w:r>
              <w:t>This final inspection is visual and the purpose is to make sure there is no damage during cold cycle and leak check. Inspect for bent or broken connect pin and probe.</w:t>
            </w:r>
          </w:p>
          <w:p w:rsidR="00CE68C6" w:rsidRDefault="00CE68C6" w:rsidP="005F012F">
            <w:r>
              <w:t>Enter name and date of the final inspection.</w:t>
            </w:r>
          </w:p>
          <w:p w:rsidR="00CE68C6" w:rsidRDefault="00CE68C6" w:rsidP="003B1A69">
            <w:r>
              <w:t>Review the cold cycle and leak check travelers.</w:t>
            </w:r>
          </w:p>
          <w:p w:rsidR="00CE68C6" w:rsidRDefault="00187FA0" w:rsidP="003B1A69">
            <w:r w:rsidRPr="005F012F">
              <w:t xml:space="preserve">If all NCRs are closed and the feedthrough </w:t>
            </w:r>
            <w:r w:rsidR="00CE68C6">
              <w:t xml:space="preserve">passes the final inspection, select YES for production </w:t>
            </w:r>
            <w:proofErr w:type="spellStart"/>
            <w:r w:rsidR="00CE68C6">
              <w:t>relaease</w:t>
            </w:r>
            <w:proofErr w:type="spellEnd"/>
            <w:r w:rsidR="00CE68C6">
              <w:t>.</w:t>
            </w:r>
            <w:r w:rsidR="00F2654A">
              <w:t xml:space="preserve"> </w:t>
            </w:r>
            <w:r w:rsidR="00CE68C6">
              <w:t xml:space="preserve">Otherwise generate NCR. </w:t>
            </w:r>
          </w:p>
          <w:p w:rsidR="00187FA0" w:rsidRDefault="00CE68C6" w:rsidP="003B1A69">
            <w:r>
              <w:t>Deliver the feedthrough to the storage area.</w:t>
            </w:r>
          </w:p>
        </w:tc>
        <w:tc>
          <w:tcPr>
            <w:tcW w:w="5472" w:type="dxa"/>
            <w:noWrap/>
          </w:tcPr>
          <w:p w:rsidR="00CE68C6" w:rsidRDefault="00CE68C6" w:rsidP="00D97B1C">
            <w:r>
              <w:t>[[</w:t>
            </w:r>
            <w:proofErr w:type="spellStart"/>
            <w:r>
              <w:t>Final_Insp_Name</w:t>
            </w:r>
            <w:proofErr w:type="spellEnd"/>
            <w:r>
              <w:t>]] &lt;&lt;SRF&gt;&gt;</w:t>
            </w:r>
          </w:p>
          <w:p w:rsidR="00CE68C6" w:rsidRDefault="00CE68C6" w:rsidP="00D97B1C">
            <w:r>
              <w:t>[[</w:t>
            </w:r>
            <w:proofErr w:type="spellStart"/>
            <w:r>
              <w:t>Final_Insp_Date</w:t>
            </w:r>
            <w:proofErr w:type="spellEnd"/>
            <w:r>
              <w:t>]] &lt;&lt;TIMESTAMP&gt;&gt;</w:t>
            </w:r>
          </w:p>
          <w:p w:rsidR="00187FA0" w:rsidRDefault="00187FA0" w:rsidP="00D97B1C">
            <w:r>
              <w:t>[[</w:t>
            </w:r>
            <w:proofErr w:type="spellStart"/>
            <w:r>
              <w:t>Production_realease</w:t>
            </w:r>
            <w:proofErr w:type="spellEnd"/>
            <w:r>
              <w:t>]] &lt;&lt;YESNO&gt;&gt;</w:t>
            </w:r>
          </w:p>
          <w:p w:rsidR="00894103" w:rsidRDefault="00894103" w:rsidP="00D97B1C"/>
        </w:tc>
      </w:tr>
    </w:tbl>
    <w:p w:rsidR="00F14DDD" w:rsidRPr="00D97B1C" w:rsidRDefault="00F14DDD" w:rsidP="00D97B1C"/>
    <w:sectPr w:rsidR="00F14DDD"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55" w:rsidRDefault="00952655" w:rsidP="00D97B1C">
      <w:r>
        <w:separator/>
      </w:r>
    </w:p>
  </w:endnote>
  <w:endnote w:type="continuationSeparator" w:id="0">
    <w:p w:rsidR="00952655" w:rsidRDefault="0095265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9154AC" w:rsidP="00D97B1C">
    <w:pPr>
      <w:pStyle w:val="Footer"/>
    </w:pPr>
    <w:fldSimple w:instr=" FILENAME   \* MERGEFORMAT ">
      <w:r w:rsidR="00B33221">
        <w:rPr>
          <w:noProof/>
        </w:rPr>
        <w:t>L2HE-CAV-INSP-FPFT-R1</w:t>
      </w:r>
    </w:fldSimple>
    <w:r w:rsidR="00766F7D">
      <w:ptab w:relativeTo="margin" w:alignment="center" w:leader="none"/>
    </w:r>
    <w:r w:rsidR="003E53B5">
      <w:fldChar w:fldCharType="begin"/>
    </w:r>
    <w:r w:rsidR="003E53B5">
      <w:instrText xml:space="preserve"> PAGE   \* MERGEFORMAT </w:instrText>
    </w:r>
    <w:r w:rsidR="003E53B5">
      <w:fldChar w:fldCharType="separate"/>
    </w:r>
    <w:r w:rsidR="00B72814">
      <w:rPr>
        <w:noProof/>
      </w:rPr>
      <w:t>4</w:t>
    </w:r>
    <w:r w:rsidR="003E53B5">
      <w:rPr>
        <w:noProof/>
      </w:rPr>
      <w:fldChar w:fldCharType="end"/>
    </w:r>
    <w:r w:rsidR="00766F7D">
      <w:t xml:space="preserve"> of </w:t>
    </w:r>
    <w:fldSimple w:instr=" NUMPAGES   \* MERGEFORMAT ">
      <w:r w:rsidR="00B72814">
        <w:rPr>
          <w:noProof/>
        </w:rPr>
        <w:t>4</w:t>
      </w:r>
    </w:fldSimple>
    <w:r w:rsidR="00766F7D">
      <w:ptab w:relativeTo="margin" w:alignment="right" w:leader="none"/>
    </w:r>
    <w:fldSimple w:instr=" SAVEDATE   \* MERGEFORMAT ">
      <w:r w:rsidR="00B72814">
        <w:rPr>
          <w:noProof/>
        </w:rPr>
        <w:t>5/5/2020 11:34:00 AM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55" w:rsidRDefault="00952655" w:rsidP="00D97B1C">
      <w:r>
        <w:separator/>
      </w:r>
    </w:p>
  </w:footnote>
  <w:footnote w:type="continuationSeparator" w:id="0">
    <w:p w:rsidR="00952655" w:rsidRDefault="0095265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D85"/>
    <w:multiLevelType w:val="hybridMultilevel"/>
    <w:tmpl w:val="658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5FC3"/>
    <w:multiLevelType w:val="multilevel"/>
    <w:tmpl w:val="274E23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EF9176B"/>
    <w:multiLevelType w:val="hybridMultilevel"/>
    <w:tmpl w:val="1FA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DF4802"/>
    <w:multiLevelType w:val="hybridMultilevel"/>
    <w:tmpl w:val="87FC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29216C"/>
    <w:multiLevelType w:val="hybridMultilevel"/>
    <w:tmpl w:val="B534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DD"/>
    <w:rsid w:val="0001458B"/>
    <w:rsid w:val="00034FD9"/>
    <w:rsid w:val="0003586B"/>
    <w:rsid w:val="000604D1"/>
    <w:rsid w:val="00063450"/>
    <w:rsid w:val="00063A8E"/>
    <w:rsid w:val="00064FB0"/>
    <w:rsid w:val="00067F40"/>
    <w:rsid w:val="00073B35"/>
    <w:rsid w:val="00085D59"/>
    <w:rsid w:val="000873DE"/>
    <w:rsid w:val="000942AE"/>
    <w:rsid w:val="000A4442"/>
    <w:rsid w:val="000A463B"/>
    <w:rsid w:val="000A5086"/>
    <w:rsid w:val="000A6A64"/>
    <w:rsid w:val="000A710A"/>
    <w:rsid w:val="000C0EA7"/>
    <w:rsid w:val="000C3265"/>
    <w:rsid w:val="000C6364"/>
    <w:rsid w:val="000C7C4C"/>
    <w:rsid w:val="000D3A02"/>
    <w:rsid w:val="000E5E09"/>
    <w:rsid w:val="000F196D"/>
    <w:rsid w:val="000F5031"/>
    <w:rsid w:val="000F5100"/>
    <w:rsid w:val="000F63EE"/>
    <w:rsid w:val="000F66CA"/>
    <w:rsid w:val="00102D1B"/>
    <w:rsid w:val="00126275"/>
    <w:rsid w:val="00131799"/>
    <w:rsid w:val="00161325"/>
    <w:rsid w:val="001643DD"/>
    <w:rsid w:val="00164C85"/>
    <w:rsid w:val="00175AF0"/>
    <w:rsid w:val="00180D72"/>
    <w:rsid w:val="001835C8"/>
    <w:rsid w:val="00185498"/>
    <w:rsid w:val="00187FA0"/>
    <w:rsid w:val="001928C4"/>
    <w:rsid w:val="001A2FA2"/>
    <w:rsid w:val="001B0A81"/>
    <w:rsid w:val="001B1150"/>
    <w:rsid w:val="001B4CEE"/>
    <w:rsid w:val="001B6ACD"/>
    <w:rsid w:val="001C016F"/>
    <w:rsid w:val="001C41CA"/>
    <w:rsid w:val="001E0EE9"/>
    <w:rsid w:val="001E2532"/>
    <w:rsid w:val="001E3261"/>
    <w:rsid w:val="001F302D"/>
    <w:rsid w:val="001F4AF2"/>
    <w:rsid w:val="00201E3C"/>
    <w:rsid w:val="00211F67"/>
    <w:rsid w:val="002247E5"/>
    <w:rsid w:val="002250AC"/>
    <w:rsid w:val="002307CF"/>
    <w:rsid w:val="00235E52"/>
    <w:rsid w:val="00244AAB"/>
    <w:rsid w:val="0025100C"/>
    <w:rsid w:val="002522D7"/>
    <w:rsid w:val="002547F1"/>
    <w:rsid w:val="002607E6"/>
    <w:rsid w:val="00267EE0"/>
    <w:rsid w:val="002829B6"/>
    <w:rsid w:val="002849B4"/>
    <w:rsid w:val="00286CF6"/>
    <w:rsid w:val="00296D1C"/>
    <w:rsid w:val="002C06D8"/>
    <w:rsid w:val="002D325F"/>
    <w:rsid w:val="002E19BD"/>
    <w:rsid w:val="002E35DC"/>
    <w:rsid w:val="002E4AD8"/>
    <w:rsid w:val="002E586D"/>
    <w:rsid w:val="002F2829"/>
    <w:rsid w:val="002F292D"/>
    <w:rsid w:val="00317F9D"/>
    <w:rsid w:val="0032290C"/>
    <w:rsid w:val="003230F1"/>
    <w:rsid w:val="00340E8A"/>
    <w:rsid w:val="00351701"/>
    <w:rsid w:val="00355812"/>
    <w:rsid w:val="0036135C"/>
    <w:rsid w:val="00375A07"/>
    <w:rsid w:val="00381916"/>
    <w:rsid w:val="003831FD"/>
    <w:rsid w:val="00393E35"/>
    <w:rsid w:val="00394E19"/>
    <w:rsid w:val="003B1A69"/>
    <w:rsid w:val="003C22C8"/>
    <w:rsid w:val="003C42E3"/>
    <w:rsid w:val="003C599A"/>
    <w:rsid w:val="003D48C5"/>
    <w:rsid w:val="003D7A7D"/>
    <w:rsid w:val="003E1751"/>
    <w:rsid w:val="003E53B5"/>
    <w:rsid w:val="003F6552"/>
    <w:rsid w:val="003F6E41"/>
    <w:rsid w:val="00400B75"/>
    <w:rsid w:val="004078BF"/>
    <w:rsid w:val="004079A0"/>
    <w:rsid w:val="00414B44"/>
    <w:rsid w:val="00416B71"/>
    <w:rsid w:val="00417E28"/>
    <w:rsid w:val="004240F9"/>
    <w:rsid w:val="004243B7"/>
    <w:rsid w:val="0042549F"/>
    <w:rsid w:val="004254B3"/>
    <w:rsid w:val="0043234B"/>
    <w:rsid w:val="00437464"/>
    <w:rsid w:val="00452B14"/>
    <w:rsid w:val="004675B5"/>
    <w:rsid w:val="004719F1"/>
    <w:rsid w:val="00477736"/>
    <w:rsid w:val="00482C02"/>
    <w:rsid w:val="00485F8E"/>
    <w:rsid w:val="0048707D"/>
    <w:rsid w:val="004A659B"/>
    <w:rsid w:val="004B1315"/>
    <w:rsid w:val="004B3A4E"/>
    <w:rsid w:val="004B4724"/>
    <w:rsid w:val="004B623C"/>
    <w:rsid w:val="004C1485"/>
    <w:rsid w:val="004E2BC3"/>
    <w:rsid w:val="004E687E"/>
    <w:rsid w:val="00503CA4"/>
    <w:rsid w:val="00504D13"/>
    <w:rsid w:val="00506588"/>
    <w:rsid w:val="00507544"/>
    <w:rsid w:val="00512034"/>
    <w:rsid w:val="00514D40"/>
    <w:rsid w:val="005158B8"/>
    <w:rsid w:val="00520BE4"/>
    <w:rsid w:val="00522623"/>
    <w:rsid w:val="005229B4"/>
    <w:rsid w:val="00523780"/>
    <w:rsid w:val="00534F12"/>
    <w:rsid w:val="00535B09"/>
    <w:rsid w:val="005553DF"/>
    <w:rsid w:val="005649D7"/>
    <w:rsid w:val="005725E1"/>
    <w:rsid w:val="0057799A"/>
    <w:rsid w:val="0059398C"/>
    <w:rsid w:val="00594166"/>
    <w:rsid w:val="0059653B"/>
    <w:rsid w:val="005B30E9"/>
    <w:rsid w:val="005B7BF6"/>
    <w:rsid w:val="005C0CC9"/>
    <w:rsid w:val="005C3F42"/>
    <w:rsid w:val="005C51C6"/>
    <w:rsid w:val="005D0C92"/>
    <w:rsid w:val="005D5B3A"/>
    <w:rsid w:val="005D6EAE"/>
    <w:rsid w:val="005E3207"/>
    <w:rsid w:val="005E3B8C"/>
    <w:rsid w:val="005E4A80"/>
    <w:rsid w:val="005E7A0D"/>
    <w:rsid w:val="005F012F"/>
    <w:rsid w:val="005F470F"/>
    <w:rsid w:val="005F5638"/>
    <w:rsid w:val="005F5881"/>
    <w:rsid w:val="00603325"/>
    <w:rsid w:val="00612DA7"/>
    <w:rsid w:val="00614EF0"/>
    <w:rsid w:val="00616CEA"/>
    <w:rsid w:val="006259BF"/>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1CF6"/>
    <w:rsid w:val="00734468"/>
    <w:rsid w:val="00736563"/>
    <w:rsid w:val="00747E5A"/>
    <w:rsid w:val="00752FFE"/>
    <w:rsid w:val="00755A06"/>
    <w:rsid w:val="00766F7D"/>
    <w:rsid w:val="007749CB"/>
    <w:rsid w:val="00776389"/>
    <w:rsid w:val="007856A2"/>
    <w:rsid w:val="00790A9E"/>
    <w:rsid w:val="007915D1"/>
    <w:rsid w:val="00793B72"/>
    <w:rsid w:val="00796D75"/>
    <w:rsid w:val="007A060F"/>
    <w:rsid w:val="007B32FF"/>
    <w:rsid w:val="007C13A0"/>
    <w:rsid w:val="007C2203"/>
    <w:rsid w:val="007C69FD"/>
    <w:rsid w:val="007C7BC3"/>
    <w:rsid w:val="007D3AB3"/>
    <w:rsid w:val="007D458D"/>
    <w:rsid w:val="007E1A80"/>
    <w:rsid w:val="007E23EB"/>
    <w:rsid w:val="007E2564"/>
    <w:rsid w:val="007E5AF2"/>
    <w:rsid w:val="007F4C92"/>
    <w:rsid w:val="007F55EA"/>
    <w:rsid w:val="007F711E"/>
    <w:rsid w:val="0080245E"/>
    <w:rsid w:val="0080401C"/>
    <w:rsid w:val="00813575"/>
    <w:rsid w:val="008233FF"/>
    <w:rsid w:val="00825E12"/>
    <w:rsid w:val="00826D15"/>
    <w:rsid w:val="0082777E"/>
    <w:rsid w:val="0083081B"/>
    <w:rsid w:val="00834508"/>
    <w:rsid w:val="00835D01"/>
    <w:rsid w:val="008873FA"/>
    <w:rsid w:val="00894103"/>
    <w:rsid w:val="008959D1"/>
    <w:rsid w:val="008A277A"/>
    <w:rsid w:val="008B4CD1"/>
    <w:rsid w:val="008B695A"/>
    <w:rsid w:val="008C3D4F"/>
    <w:rsid w:val="008C5B3E"/>
    <w:rsid w:val="008D5A63"/>
    <w:rsid w:val="008D7218"/>
    <w:rsid w:val="008E2762"/>
    <w:rsid w:val="008E588F"/>
    <w:rsid w:val="00901864"/>
    <w:rsid w:val="00910D5E"/>
    <w:rsid w:val="009154AC"/>
    <w:rsid w:val="009162AB"/>
    <w:rsid w:val="00916690"/>
    <w:rsid w:val="00917171"/>
    <w:rsid w:val="00927CA2"/>
    <w:rsid w:val="009329BD"/>
    <w:rsid w:val="00932FBB"/>
    <w:rsid w:val="00940264"/>
    <w:rsid w:val="00941A42"/>
    <w:rsid w:val="00952455"/>
    <w:rsid w:val="00952655"/>
    <w:rsid w:val="00953602"/>
    <w:rsid w:val="00957CBB"/>
    <w:rsid w:val="00961BC6"/>
    <w:rsid w:val="00976CEF"/>
    <w:rsid w:val="00985B57"/>
    <w:rsid w:val="00987670"/>
    <w:rsid w:val="009903C0"/>
    <w:rsid w:val="009918DD"/>
    <w:rsid w:val="0099215E"/>
    <w:rsid w:val="00995F42"/>
    <w:rsid w:val="00997077"/>
    <w:rsid w:val="009A0047"/>
    <w:rsid w:val="009B6DF4"/>
    <w:rsid w:val="009C524F"/>
    <w:rsid w:val="009D7011"/>
    <w:rsid w:val="009E0910"/>
    <w:rsid w:val="009E1D4D"/>
    <w:rsid w:val="009F660F"/>
    <w:rsid w:val="00A000A6"/>
    <w:rsid w:val="00A136D5"/>
    <w:rsid w:val="00A208EE"/>
    <w:rsid w:val="00A21F4D"/>
    <w:rsid w:val="00A26F25"/>
    <w:rsid w:val="00A35DB3"/>
    <w:rsid w:val="00A44853"/>
    <w:rsid w:val="00A5188B"/>
    <w:rsid w:val="00A56D08"/>
    <w:rsid w:val="00A61DA0"/>
    <w:rsid w:val="00A74920"/>
    <w:rsid w:val="00A76118"/>
    <w:rsid w:val="00A80D02"/>
    <w:rsid w:val="00A82B83"/>
    <w:rsid w:val="00A841DF"/>
    <w:rsid w:val="00A84956"/>
    <w:rsid w:val="00A9123F"/>
    <w:rsid w:val="00A9592F"/>
    <w:rsid w:val="00A96426"/>
    <w:rsid w:val="00AB07B6"/>
    <w:rsid w:val="00AB4AC3"/>
    <w:rsid w:val="00AC24A2"/>
    <w:rsid w:val="00AD232C"/>
    <w:rsid w:val="00AE483C"/>
    <w:rsid w:val="00AF0020"/>
    <w:rsid w:val="00AF46AF"/>
    <w:rsid w:val="00B104B6"/>
    <w:rsid w:val="00B1134C"/>
    <w:rsid w:val="00B12ADB"/>
    <w:rsid w:val="00B13078"/>
    <w:rsid w:val="00B1554F"/>
    <w:rsid w:val="00B16F27"/>
    <w:rsid w:val="00B23B29"/>
    <w:rsid w:val="00B243B3"/>
    <w:rsid w:val="00B33221"/>
    <w:rsid w:val="00B4428C"/>
    <w:rsid w:val="00B56613"/>
    <w:rsid w:val="00B621B2"/>
    <w:rsid w:val="00B622EB"/>
    <w:rsid w:val="00B6706A"/>
    <w:rsid w:val="00B72814"/>
    <w:rsid w:val="00B82F48"/>
    <w:rsid w:val="00B87041"/>
    <w:rsid w:val="00B96500"/>
    <w:rsid w:val="00BA024A"/>
    <w:rsid w:val="00BA086D"/>
    <w:rsid w:val="00BA3F4C"/>
    <w:rsid w:val="00BA4EBC"/>
    <w:rsid w:val="00BD6884"/>
    <w:rsid w:val="00BE1BCD"/>
    <w:rsid w:val="00BF589E"/>
    <w:rsid w:val="00C0197D"/>
    <w:rsid w:val="00C042CB"/>
    <w:rsid w:val="00C11977"/>
    <w:rsid w:val="00C1250D"/>
    <w:rsid w:val="00C15355"/>
    <w:rsid w:val="00C40E54"/>
    <w:rsid w:val="00C41CBE"/>
    <w:rsid w:val="00C44FDB"/>
    <w:rsid w:val="00C45D8E"/>
    <w:rsid w:val="00C532E5"/>
    <w:rsid w:val="00C53F69"/>
    <w:rsid w:val="00C5532A"/>
    <w:rsid w:val="00C57AE4"/>
    <w:rsid w:val="00C632A1"/>
    <w:rsid w:val="00C8691E"/>
    <w:rsid w:val="00C8794A"/>
    <w:rsid w:val="00C879CD"/>
    <w:rsid w:val="00C913C9"/>
    <w:rsid w:val="00C974FE"/>
    <w:rsid w:val="00CA3458"/>
    <w:rsid w:val="00CA4E63"/>
    <w:rsid w:val="00CA6B6A"/>
    <w:rsid w:val="00CB2802"/>
    <w:rsid w:val="00CB4F30"/>
    <w:rsid w:val="00CD66D4"/>
    <w:rsid w:val="00CD6BF5"/>
    <w:rsid w:val="00CD6E4C"/>
    <w:rsid w:val="00CE1E06"/>
    <w:rsid w:val="00CE3E11"/>
    <w:rsid w:val="00CE548A"/>
    <w:rsid w:val="00CE68C6"/>
    <w:rsid w:val="00CF4E71"/>
    <w:rsid w:val="00D06A4C"/>
    <w:rsid w:val="00D142AF"/>
    <w:rsid w:val="00D203B7"/>
    <w:rsid w:val="00D22861"/>
    <w:rsid w:val="00D33AE3"/>
    <w:rsid w:val="00D410B9"/>
    <w:rsid w:val="00D41388"/>
    <w:rsid w:val="00D60A1D"/>
    <w:rsid w:val="00D67382"/>
    <w:rsid w:val="00D70B2D"/>
    <w:rsid w:val="00D74EA2"/>
    <w:rsid w:val="00D80A0D"/>
    <w:rsid w:val="00D81018"/>
    <w:rsid w:val="00D90AA8"/>
    <w:rsid w:val="00D955CF"/>
    <w:rsid w:val="00D97B1C"/>
    <w:rsid w:val="00DA1231"/>
    <w:rsid w:val="00DA2504"/>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0F86"/>
    <w:rsid w:val="00E82919"/>
    <w:rsid w:val="00E9049C"/>
    <w:rsid w:val="00E97233"/>
    <w:rsid w:val="00EA1184"/>
    <w:rsid w:val="00EA5FE6"/>
    <w:rsid w:val="00EA6531"/>
    <w:rsid w:val="00EA7596"/>
    <w:rsid w:val="00EA7DAC"/>
    <w:rsid w:val="00EB2FFF"/>
    <w:rsid w:val="00ED1D2E"/>
    <w:rsid w:val="00EE4B92"/>
    <w:rsid w:val="00EE6ED2"/>
    <w:rsid w:val="00EE7717"/>
    <w:rsid w:val="00EF7D19"/>
    <w:rsid w:val="00F11145"/>
    <w:rsid w:val="00F13DAD"/>
    <w:rsid w:val="00F14DDD"/>
    <w:rsid w:val="00F22BB0"/>
    <w:rsid w:val="00F25509"/>
    <w:rsid w:val="00F25A80"/>
    <w:rsid w:val="00F2654A"/>
    <w:rsid w:val="00F26C70"/>
    <w:rsid w:val="00F560F2"/>
    <w:rsid w:val="00F62A06"/>
    <w:rsid w:val="00F634FB"/>
    <w:rsid w:val="00F70737"/>
    <w:rsid w:val="00F91799"/>
    <w:rsid w:val="00F935F8"/>
    <w:rsid w:val="00F937C7"/>
    <w:rsid w:val="00F95932"/>
    <w:rsid w:val="00FA0EAC"/>
    <w:rsid w:val="00FA6442"/>
    <w:rsid w:val="00FA6CD3"/>
    <w:rsid w:val="00FB4232"/>
    <w:rsid w:val="00FC79E1"/>
    <w:rsid w:val="00FD0608"/>
    <w:rsid w:val="00FD2425"/>
    <w:rsid w:val="00FD42BD"/>
    <w:rsid w:val="00FE1186"/>
    <w:rsid w:val="00FF04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980FA"/>
  <w15:docId w15:val="{6926DE3D-C572-426D-B67E-59B41A40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unhideWhenUsed/>
    <w:qFormat/>
    <w:rsid w:val="00F13D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F14DDD"/>
    <w:rPr>
      <w:color w:val="0000FF" w:themeColor="hyperlink"/>
      <w:u w:val="single"/>
    </w:rPr>
  </w:style>
  <w:style w:type="paragraph" w:styleId="ListParagraph">
    <w:name w:val="List Paragraph"/>
    <w:basedOn w:val="Normal"/>
    <w:uiPriority w:val="34"/>
    <w:qFormat/>
    <w:rsid w:val="00EE6ED2"/>
    <w:pPr>
      <w:ind w:left="720"/>
      <w:contextualSpacing/>
    </w:pPr>
  </w:style>
  <w:style w:type="character" w:styleId="CommentReference">
    <w:name w:val="annotation reference"/>
    <w:basedOn w:val="DefaultParagraphFont"/>
    <w:uiPriority w:val="99"/>
    <w:semiHidden/>
    <w:unhideWhenUsed/>
    <w:rsid w:val="005F5638"/>
    <w:rPr>
      <w:sz w:val="16"/>
      <w:szCs w:val="16"/>
    </w:rPr>
  </w:style>
  <w:style w:type="paragraph" w:styleId="CommentText">
    <w:name w:val="annotation text"/>
    <w:basedOn w:val="Normal"/>
    <w:link w:val="CommentTextChar"/>
    <w:uiPriority w:val="99"/>
    <w:semiHidden/>
    <w:unhideWhenUsed/>
    <w:rsid w:val="005F5638"/>
    <w:rPr>
      <w:sz w:val="20"/>
    </w:rPr>
  </w:style>
  <w:style w:type="character" w:customStyle="1" w:styleId="CommentTextChar">
    <w:name w:val="Comment Text Char"/>
    <w:basedOn w:val="DefaultParagraphFont"/>
    <w:link w:val="CommentText"/>
    <w:uiPriority w:val="99"/>
    <w:semiHidden/>
    <w:rsid w:val="005F56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638"/>
    <w:rPr>
      <w:b/>
      <w:bCs/>
    </w:rPr>
  </w:style>
  <w:style w:type="character" w:customStyle="1" w:styleId="CommentSubjectChar">
    <w:name w:val="Comment Subject Char"/>
    <w:basedOn w:val="CommentTextChar"/>
    <w:link w:val="CommentSubject"/>
    <w:uiPriority w:val="99"/>
    <w:semiHidden/>
    <w:rsid w:val="005F563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80245E"/>
    <w:rPr>
      <w:color w:val="800080" w:themeColor="followedHyperlink"/>
      <w:u w:val="single"/>
    </w:rPr>
  </w:style>
  <w:style w:type="character" w:customStyle="1" w:styleId="Heading2Char">
    <w:name w:val="Heading 2 Char"/>
    <w:basedOn w:val="DefaultParagraphFont"/>
    <w:link w:val="Heading2"/>
    <w:uiPriority w:val="9"/>
    <w:rsid w:val="00F13DA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5B37D-D103-4E41-9984-E9392912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hkpark</dc:creator>
  <cp:lastModifiedBy>HyeKyoung Park</cp:lastModifiedBy>
  <cp:revision>8</cp:revision>
  <cp:lastPrinted>2018-02-21T15:43:00Z</cp:lastPrinted>
  <dcterms:created xsi:type="dcterms:W3CDTF">2020-03-30T20:42:00Z</dcterms:created>
  <dcterms:modified xsi:type="dcterms:W3CDTF">2020-05-05T15:39:00Z</dcterms:modified>
</cp:coreProperties>
</file>