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05759C" w:rsidP="00D97B1C">
            <w:r>
              <w:rPr>
                <w:sz w:val="24"/>
              </w:rPr>
              <w:t>P</w:t>
            </w:r>
            <w:r>
              <w:rPr>
                <w:sz w:val="24"/>
              </w:rPr>
              <w:t>1</w:t>
            </w:r>
            <w:r w:rsidRPr="00582AEA">
              <w:rPr>
                <w:sz w:val="24"/>
              </w:rPr>
              <w:t xml:space="preserve"> Cavity Ass</w:t>
            </w:r>
            <w:r>
              <w:rPr>
                <w:sz w:val="24"/>
              </w:rPr>
              <w:t>embly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05759C" w:rsidP="00D97B1C">
            <w:r w:rsidRPr="00582AEA">
              <w:rPr>
                <w:sz w:val="24"/>
              </w:rPr>
              <w:t xml:space="preserve">The following traveler documents the steps for cavity assemblies for VTA </w:t>
            </w:r>
            <w:r>
              <w:rPr>
                <w:sz w:val="24"/>
              </w:rPr>
              <w:t>qualification of  P</w:t>
            </w:r>
            <w:r w:rsidRPr="00582AEA">
              <w:rPr>
                <w:sz w:val="24"/>
              </w:rPr>
              <w:t>100 cavities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05759C" w:rsidP="00D97B1C">
            <w:r>
              <w:rPr>
                <w:sz w:val="24"/>
              </w:rPr>
              <w:t>P</w:t>
            </w:r>
            <w:r>
              <w:rPr>
                <w:sz w:val="24"/>
              </w:rPr>
              <w:t>1</w:t>
            </w:r>
            <w:r w:rsidRPr="00582AEA">
              <w:rPr>
                <w:sz w:val="24"/>
              </w:rPr>
              <w:t>-</w:t>
            </w:r>
            <w:r>
              <w:rPr>
                <w:sz w:val="24"/>
              </w:rPr>
              <w:t>CLNRM-</w:t>
            </w:r>
            <w:r w:rsidRPr="00582AEA">
              <w:rPr>
                <w:sz w:val="24"/>
              </w:rPr>
              <w:t>CAV-ASSY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766F7D" w:rsidP="00D97B1C">
            <w:r w:rsidRPr="00D97B1C">
              <w:t>R1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05759C" w:rsidP="0052412E">
            <w:r>
              <w:rPr>
                <w:sz w:val="24"/>
              </w:rPr>
              <w:t>Chris Dreyfuss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E24D93" w:rsidP="00D97B1C">
            <w:sdt>
              <w:sdtPr>
                <w:id w:val="534233298"/>
                <w:placeholder>
                  <w:docPart w:val="FD6264658B0A4B46B51662C8725342F3"/>
                </w:placeholder>
                <w:date w:fullDate="2020-10-23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5759C">
                  <w:t>23-Oct-20</w:t>
                </w:r>
              </w:sdtContent>
            </w:sdt>
          </w:p>
        </w:tc>
      </w:tr>
      <w:tr w:rsidR="00EA63EB" w:rsidRPr="00D97B1C" w:rsidTr="001E0C95">
        <w:trPr>
          <w:trHeight w:val="293"/>
        </w:trPr>
        <w:tc>
          <w:tcPr>
            <w:tcW w:w="998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63EB" w:rsidRPr="00D97B1C" w:rsidRDefault="0005759C" w:rsidP="00D97B1C">
            <w:r>
              <w:t>Forehand, Gainey, Macha, Ciovati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EA63EB" w:rsidP="00D97B1C">
            <w:r>
              <w:t>NCR Dispositioners</w:t>
            </w:r>
          </w:p>
        </w:tc>
        <w:tc>
          <w:tcPr>
            <w:tcW w:w="4002" w:type="pct"/>
            <w:gridSpan w:val="4"/>
          </w:tcPr>
          <w:p w:rsidR="00766F7D" w:rsidRPr="00D97B1C" w:rsidRDefault="0005759C" w:rsidP="00D97B1C">
            <w:r>
              <w:t xml:space="preserve">Forehand, Gainey, Macha, </w:t>
            </w:r>
            <w:r>
              <w:t>Ciovati</w:t>
            </w:r>
          </w:p>
        </w:tc>
      </w:tr>
      <w:tr w:rsidR="009E7B59" w:rsidRPr="00D97B1C" w:rsidTr="001E0C95">
        <w:trPr>
          <w:trHeight w:val="293"/>
        </w:trPr>
        <w:tc>
          <w:tcPr>
            <w:tcW w:w="998" w:type="pct"/>
          </w:tcPr>
          <w:p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:rsidR="009E7B59" w:rsidRPr="00D97B1C" w:rsidRDefault="0005759C" w:rsidP="00D97B1C">
            <w:r>
              <w:t xml:space="preserve">Forehand, Gainey, Macha, </w:t>
            </w:r>
            <w:r>
              <w:t>Ciovati</w:t>
            </w:r>
          </w:p>
        </w:tc>
      </w:tr>
      <w:tr w:rsidR="0037791E" w:rsidRPr="00D97B1C" w:rsidTr="001E0C95">
        <w:trPr>
          <w:trHeight w:val="293"/>
        </w:trPr>
        <w:tc>
          <w:tcPr>
            <w:tcW w:w="998" w:type="pct"/>
          </w:tcPr>
          <w:p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:rsidR="0037791E" w:rsidRPr="00D97B1C" w:rsidRDefault="0005759C" w:rsidP="0037791E">
            <w:r>
              <w:t>Chris Dreyfuss</w:t>
            </w:r>
          </w:p>
        </w:tc>
        <w:tc>
          <w:tcPr>
            <w:tcW w:w="1000" w:type="pct"/>
          </w:tcPr>
          <w:p w:rsidR="0037791E" w:rsidRDefault="0005759C" w:rsidP="0037791E">
            <w:r>
              <w:t>Danny Forehand</w:t>
            </w:r>
          </w:p>
        </w:tc>
        <w:tc>
          <w:tcPr>
            <w:tcW w:w="1000" w:type="pct"/>
          </w:tcPr>
          <w:p w:rsidR="0037791E" w:rsidRDefault="0005759C" w:rsidP="0037791E">
            <w:r>
              <w:t>Tiffany Gainey</w:t>
            </w:r>
          </w:p>
        </w:tc>
        <w:tc>
          <w:tcPr>
            <w:tcW w:w="1001" w:type="pct"/>
          </w:tcPr>
          <w:p w:rsidR="0037791E" w:rsidRPr="00D97B1C" w:rsidRDefault="0037791E" w:rsidP="0037791E"/>
        </w:tc>
      </w:tr>
      <w:tr w:rsidR="00286CF6" w:rsidRPr="00D97B1C" w:rsidTr="001E0C95">
        <w:trPr>
          <w:trHeight w:val="293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05759C" w:rsidP="00D97B1C">
            <w:hyperlink r:id="rId8" w:history="1">
              <w:r>
                <w:rPr>
                  <w:color w:val="0000FF"/>
                  <w:u w:val="single"/>
                </w:rPr>
                <w:t xml:space="preserve">P100 </w:t>
              </w:r>
              <w:r w:rsidRPr="00582AEA">
                <w:rPr>
                  <w:color w:val="0000FF"/>
                  <w:u w:val="single"/>
                </w:rPr>
                <w:t xml:space="preserve"> cavity assembly procedure for VTA qualification</w:t>
              </w:r>
            </w:hyperlink>
            <w:r w:rsidRPr="00582AEA">
              <w:t>.</w:t>
            </w:r>
          </w:p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  <w:bookmarkStart w:id="0" w:name="_GoBack"/>
        <w:bookmarkEnd w:id="0"/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05759C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05759C" w:rsidRPr="00D97B1C" w:rsidTr="0005759C">
        <w:trPr>
          <w:trHeight w:val="288"/>
        </w:trPr>
        <w:tc>
          <w:tcPr>
            <w:tcW w:w="1199" w:type="dxa"/>
          </w:tcPr>
          <w:p w:rsidR="0005759C" w:rsidRPr="00D97B1C" w:rsidRDefault="0005759C" w:rsidP="0005759C">
            <w:r w:rsidRPr="00D97B1C">
              <w:t>1</w:t>
            </w:r>
          </w:p>
        </w:tc>
        <w:tc>
          <w:tcPr>
            <w:tcW w:w="7372" w:type="dxa"/>
          </w:tcPr>
          <w:p w:rsidR="0005759C" w:rsidRPr="00C54810" w:rsidRDefault="0005759C" w:rsidP="0005759C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  <w:contextualSpacing/>
              <w:rPr>
                <w:b/>
                <w:sz w:val="28"/>
                <w:szCs w:val="28"/>
              </w:rPr>
            </w:pPr>
            <w:r w:rsidRPr="00C54810">
              <w:rPr>
                <w:b/>
                <w:sz w:val="28"/>
                <w:szCs w:val="28"/>
              </w:rPr>
              <w:t>Cavity:</w:t>
            </w:r>
          </w:p>
          <w:p w:rsidR="0005759C" w:rsidRPr="00582AEA" w:rsidRDefault="0005759C" w:rsidP="0005759C">
            <w:pPr>
              <w:widowControl w:val="0"/>
              <w:numPr>
                <w:ilvl w:val="0"/>
                <w:numId w:val="1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right" w:pos="8636"/>
              </w:tabs>
              <w:ind w:left="360"/>
              <w:contextualSpacing/>
            </w:pPr>
            <w:r w:rsidRPr="00582AEA">
              <w:t>Record Cavity Serial Number</w:t>
            </w:r>
          </w:p>
          <w:p w:rsidR="0005759C" w:rsidRDefault="0005759C" w:rsidP="0005759C">
            <w:pPr>
              <w:numPr>
                <w:ilvl w:val="0"/>
                <w:numId w:val="1"/>
              </w:numPr>
              <w:ind w:left="360"/>
              <w:contextualSpacing/>
            </w:pPr>
            <w:r w:rsidRPr="00582AEA">
              <w:t>Use the D3 button at the top of the page to record a discrepancy or deviation that occurred before, during, or after the assembly.</w:t>
            </w:r>
          </w:p>
          <w:p w:rsidR="0005759C" w:rsidRDefault="0005759C" w:rsidP="0005759C">
            <w:pPr>
              <w:ind w:left="360"/>
              <w:contextualSpacing/>
            </w:pPr>
          </w:p>
          <w:p w:rsidR="0005759C" w:rsidRDefault="0005759C" w:rsidP="0005759C">
            <w:pPr>
              <w:ind w:left="360"/>
              <w:contextualSpacing/>
            </w:pPr>
            <w:r>
              <w:rPr>
                <w:noProof/>
              </w:rPr>
              <w:drawing>
                <wp:inline distT="0" distB="0" distL="0" distR="0" wp14:anchorId="20DF99ED" wp14:editId="3D20CD8C">
                  <wp:extent cx="3474720" cy="19145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720" cy="1914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5759C" w:rsidRPr="00582AEA" w:rsidRDefault="0005759C" w:rsidP="0005759C">
            <w:pPr>
              <w:ind w:left="360"/>
              <w:contextualSpacing/>
            </w:pPr>
          </w:p>
        </w:tc>
        <w:tc>
          <w:tcPr>
            <w:tcW w:w="4379" w:type="dxa"/>
            <w:noWrap/>
          </w:tcPr>
          <w:p w:rsidR="0005759C" w:rsidRPr="00582AEA" w:rsidRDefault="0005759C" w:rsidP="0005759C">
            <w:r w:rsidRPr="00582AEA">
              <w:t>[[CAVSN]] &lt;&lt;CAVSN&gt;&gt;</w:t>
            </w:r>
          </w:p>
          <w:p w:rsidR="0005759C" w:rsidRPr="00582AEA" w:rsidRDefault="0005759C" w:rsidP="0005759C">
            <w:r w:rsidRPr="00582AEA">
              <w:t>[[AssemblyTech1]] &lt;&lt;SRFCVP&gt;&gt;</w:t>
            </w:r>
          </w:p>
          <w:p w:rsidR="0005759C" w:rsidRPr="00582AEA" w:rsidRDefault="0005759C" w:rsidP="0005759C">
            <w:r w:rsidRPr="00582AEA">
              <w:t>[[AssemblyTech2]] &lt;&lt;SRFCVP&gt;&gt;</w:t>
            </w:r>
          </w:p>
          <w:p w:rsidR="0005759C" w:rsidRDefault="0005759C" w:rsidP="0005759C">
            <w:r w:rsidRPr="00582AEA">
              <w:t>[[RecordDate]] &lt;&lt;TIMESTAMP&gt;&gt;</w:t>
            </w:r>
          </w:p>
          <w:p w:rsidR="0005759C" w:rsidRDefault="0005759C" w:rsidP="0005759C">
            <w:r>
              <w:t>[[FieldName]] &lt;&lt;COMMENT&gt;&gt;</w:t>
            </w:r>
          </w:p>
          <w:p w:rsidR="0005759C" w:rsidRPr="00582AEA" w:rsidRDefault="0005759C" w:rsidP="0005759C"/>
        </w:tc>
      </w:tr>
      <w:tr w:rsidR="0005759C" w:rsidRPr="00D97B1C" w:rsidTr="0005759C">
        <w:trPr>
          <w:trHeight w:val="288"/>
        </w:trPr>
        <w:tc>
          <w:tcPr>
            <w:tcW w:w="1199" w:type="dxa"/>
          </w:tcPr>
          <w:p w:rsidR="0005759C" w:rsidRPr="00D97B1C" w:rsidRDefault="0005759C" w:rsidP="0005759C">
            <w:r w:rsidRPr="00D97B1C">
              <w:t>2</w:t>
            </w:r>
          </w:p>
        </w:tc>
        <w:tc>
          <w:tcPr>
            <w:tcW w:w="7372" w:type="dxa"/>
          </w:tcPr>
          <w:p w:rsidR="0005759C" w:rsidRPr="009F0892" w:rsidRDefault="0005759C" w:rsidP="0005759C">
            <w:pPr>
              <w:contextualSpacing/>
              <w:rPr>
                <w:b/>
                <w:sz w:val="28"/>
                <w:szCs w:val="28"/>
              </w:rPr>
            </w:pPr>
            <w:r w:rsidRPr="009F0892">
              <w:rPr>
                <w:b/>
                <w:sz w:val="28"/>
                <w:szCs w:val="28"/>
              </w:rPr>
              <w:t>Cavity Assembly</w:t>
            </w:r>
            <w:r>
              <w:rPr>
                <w:b/>
                <w:sz w:val="28"/>
                <w:szCs w:val="28"/>
              </w:rPr>
              <w:t>:</w:t>
            </w:r>
          </w:p>
          <w:p w:rsidR="0005759C" w:rsidRDefault="0005759C" w:rsidP="0005759C">
            <w:pPr>
              <w:pStyle w:val="ListParagraph"/>
              <w:numPr>
                <w:ilvl w:val="0"/>
                <w:numId w:val="2"/>
              </w:numPr>
            </w:pPr>
            <w:r>
              <w:t>Cavity flanges Checked for stains and Scratches.</w:t>
            </w:r>
          </w:p>
          <w:p w:rsidR="0005759C" w:rsidRDefault="0005759C" w:rsidP="0005759C">
            <w:pPr>
              <w:pStyle w:val="ListParagraph"/>
              <w:numPr>
                <w:ilvl w:val="0"/>
                <w:numId w:val="2"/>
              </w:numPr>
            </w:pPr>
            <w:r>
              <w:t>Record cavity serial number.</w:t>
            </w:r>
          </w:p>
          <w:p w:rsidR="0005759C" w:rsidRDefault="0005759C" w:rsidP="0005759C">
            <w:pPr>
              <w:pStyle w:val="ListParagraph"/>
              <w:numPr>
                <w:ilvl w:val="0"/>
                <w:numId w:val="2"/>
              </w:numPr>
            </w:pPr>
            <w:r>
              <w:t>Record HOM and Field Probe serial numbers.</w:t>
            </w:r>
          </w:p>
          <w:p w:rsidR="0005759C" w:rsidRPr="00582AEA" w:rsidRDefault="0005759C" w:rsidP="0005759C">
            <w:pPr>
              <w:pStyle w:val="ListParagraph"/>
              <w:numPr>
                <w:ilvl w:val="0"/>
                <w:numId w:val="2"/>
              </w:numPr>
            </w:pPr>
            <w:r>
              <w:t>Perform</w:t>
            </w:r>
            <w:r w:rsidRPr="00582AEA">
              <w:t xml:space="preserve"> cavity assembly as per the </w:t>
            </w:r>
            <w:hyperlink r:id="rId10" w:history="1">
              <w:r w:rsidRPr="009F0892">
                <w:rPr>
                  <w:color w:val="0000FF"/>
                  <w:u w:val="single"/>
                </w:rPr>
                <w:t>P100  cavity assembly procedure for VTA qualification</w:t>
              </w:r>
            </w:hyperlink>
            <w:r w:rsidRPr="00582AEA">
              <w:t>.</w:t>
            </w:r>
          </w:p>
          <w:p w:rsidR="0005759C" w:rsidRPr="00582AEA" w:rsidRDefault="0005759C" w:rsidP="0005759C">
            <w:pPr>
              <w:pStyle w:val="ListParagraph"/>
              <w:numPr>
                <w:ilvl w:val="0"/>
                <w:numId w:val="2"/>
              </w:numPr>
            </w:pPr>
            <w:r w:rsidRPr="00582AEA">
              <w:t xml:space="preserve">Use the comment box at the right to record notes, etc., regarding this assembly. </w:t>
            </w:r>
          </w:p>
          <w:p w:rsidR="0005759C" w:rsidRDefault="0005759C" w:rsidP="0005759C">
            <w:pPr>
              <w:pStyle w:val="ListParagraph"/>
              <w:numPr>
                <w:ilvl w:val="0"/>
                <w:numId w:val="2"/>
              </w:numPr>
            </w:pPr>
            <w:r>
              <w:t>T</w:t>
            </w:r>
            <w:r w:rsidRPr="00582AEA">
              <w:t>orque for the beam-line flanges</w:t>
            </w:r>
            <w:r>
              <w:t xml:space="preserve"> which is 125 inch </w:t>
            </w:r>
            <w:r w:rsidRPr="00582AEA">
              <w:t>lbs.</w:t>
            </w:r>
            <w:r>
              <w:t xml:space="preserve"> The FPC flange is 55 inch lbs on the straights and 40 inch lbs on the corners. And the HOM and Field Probe are 40 inch lbs.</w:t>
            </w:r>
          </w:p>
          <w:p w:rsidR="0005759C" w:rsidRPr="00582AEA" w:rsidRDefault="0005759C" w:rsidP="0005759C">
            <w:pPr>
              <w:pStyle w:val="ListParagraph"/>
              <w:numPr>
                <w:ilvl w:val="0"/>
                <w:numId w:val="2"/>
              </w:numPr>
            </w:pPr>
            <w:r>
              <w:t xml:space="preserve">Cavity is now ready to move to the VAA and install in the test stand and pumpdown. </w:t>
            </w:r>
          </w:p>
        </w:tc>
        <w:tc>
          <w:tcPr>
            <w:tcW w:w="4379" w:type="dxa"/>
            <w:noWrap/>
          </w:tcPr>
          <w:p w:rsidR="0005759C" w:rsidRPr="00582AEA" w:rsidRDefault="0005759C" w:rsidP="0005759C">
            <w:r w:rsidRPr="00582AEA">
              <w:t>[[Assembly_Tech1]] &lt;&lt;SRFCVP&gt;&gt;</w:t>
            </w:r>
          </w:p>
          <w:p w:rsidR="0005759C" w:rsidRDefault="0005759C" w:rsidP="0005759C">
            <w:r w:rsidRPr="00582AEA">
              <w:t>[[Assembly_Tech2]] &lt;&lt;SRFCVP&gt;&gt;</w:t>
            </w:r>
          </w:p>
          <w:p w:rsidR="0005759C" w:rsidRDefault="0005759C" w:rsidP="0005759C">
            <w:r>
              <w:t>[[FieldProbe]] &lt;&lt;FPFTSN&gt;&gt;</w:t>
            </w:r>
          </w:p>
          <w:p w:rsidR="0005759C" w:rsidRDefault="0005759C" w:rsidP="0005759C">
            <w:r>
              <w:t>[[FieldProbeLength]] &lt;&lt;NOTE&gt;&gt;</w:t>
            </w:r>
          </w:p>
          <w:p w:rsidR="0005759C" w:rsidRDefault="0005759C" w:rsidP="0005759C">
            <w:r>
              <w:t>[[HOM A]] &lt;&lt;HMFTSN&gt;&gt;</w:t>
            </w:r>
          </w:p>
          <w:p w:rsidR="0005759C" w:rsidRDefault="0005759C" w:rsidP="0005759C">
            <w:r>
              <w:t>[[HOM A Length]] &lt;&lt;NOTE&gt;&gt;</w:t>
            </w:r>
          </w:p>
          <w:p w:rsidR="0005759C" w:rsidRDefault="0005759C" w:rsidP="0005759C">
            <w:r>
              <w:t>[[HOM B]] &lt;&lt;HMFTSN&gt;&gt;</w:t>
            </w:r>
          </w:p>
          <w:p w:rsidR="0005759C" w:rsidRDefault="0005759C" w:rsidP="0005759C">
            <w:r>
              <w:t>[[HOM B Length]] &lt;&lt;NOTE&gt;&gt;</w:t>
            </w:r>
          </w:p>
          <w:p w:rsidR="0005759C" w:rsidRDefault="0005759C" w:rsidP="0005759C">
            <w:r>
              <w:t>[[</w:t>
            </w:r>
            <w:r w:rsidRPr="00582AEA">
              <w:t>AssyComments]] &lt;&lt;COMMENT&gt;&gt;</w:t>
            </w:r>
          </w:p>
          <w:p w:rsidR="0005759C" w:rsidRDefault="0005759C" w:rsidP="0005759C">
            <w:r>
              <w:t>[[CavityTorqued]] &lt;&lt;YESNO&gt;&gt;</w:t>
            </w:r>
          </w:p>
          <w:p w:rsidR="0005759C" w:rsidRPr="00582AEA" w:rsidRDefault="0005759C" w:rsidP="0005759C"/>
          <w:p w:rsidR="0005759C" w:rsidRPr="00582AEA" w:rsidRDefault="0005759C" w:rsidP="0005759C"/>
        </w:tc>
      </w:tr>
      <w:tr w:rsidR="0005759C" w:rsidRPr="00D97B1C" w:rsidTr="0005759C">
        <w:trPr>
          <w:trHeight w:val="288"/>
        </w:trPr>
        <w:tc>
          <w:tcPr>
            <w:tcW w:w="1199" w:type="dxa"/>
          </w:tcPr>
          <w:p w:rsidR="0005759C" w:rsidRPr="00D97B1C" w:rsidRDefault="0005759C" w:rsidP="0005759C"/>
        </w:tc>
        <w:tc>
          <w:tcPr>
            <w:tcW w:w="7372" w:type="dxa"/>
          </w:tcPr>
          <w:p w:rsidR="0005759C" w:rsidRPr="00D97B1C" w:rsidRDefault="0005759C" w:rsidP="0005759C"/>
        </w:tc>
        <w:tc>
          <w:tcPr>
            <w:tcW w:w="4379" w:type="dxa"/>
            <w:noWrap/>
          </w:tcPr>
          <w:p w:rsidR="0005759C" w:rsidRPr="00D97B1C" w:rsidRDefault="0005759C" w:rsidP="0005759C"/>
        </w:tc>
      </w:tr>
    </w:tbl>
    <w:p w:rsidR="00A208EE" w:rsidRPr="00D97B1C" w:rsidRDefault="00A208EE" w:rsidP="00D97B1C"/>
    <w:sectPr w:rsidR="00A208EE" w:rsidRPr="00D97B1C" w:rsidSect="00A841DF">
      <w:headerReference w:type="default" r:id="rId11"/>
      <w:footerReference w:type="default" r:id="rId12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59C" w:rsidRDefault="0005759C" w:rsidP="00D97B1C">
      <w:r>
        <w:separator/>
      </w:r>
    </w:p>
  </w:endnote>
  <w:endnote w:type="continuationSeparator" w:id="0">
    <w:p w:rsidR="0005759C" w:rsidRDefault="0005759C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E24D93" w:rsidP="00D97B1C">
    <w:pPr>
      <w:pStyle w:val="Footer"/>
    </w:pPr>
    <w:r>
      <w:rPr>
        <w:noProof/>
      </w:rPr>
      <w:t>P1</w:t>
    </w:r>
    <w:r>
      <w:rPr>
        <w:noProof/>
      </w:rPr>
      <w:t>-CLNRM-CAV-ASSY</w:t>
    </w:r>
    <w:r>
      <w:t xml:space="preserve"> 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>
      <w:rPr>
        <w:noProof/>
      </w:rPr>
      <w:t>3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830406">
      <w:rPr>
        <w:noProof/>
      </w:rPr>
      <w:t>1/14/2020 12:24:00 PM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59C" w:rsidRDefault="0005759C" w:rsidP="00D97B1C">
      <w:r>
        <w:separator/>
      </w:r>
    </w:p>
  </w:footnote>
  <w:footnote w:type="continuationSeparator" w:id="0">
    <w:p w:rsidR="0005759C" w:rsidRDefault="0005759C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374B7"/>
    <w:multiLevelType w:val="hybridMultilevel"/>
    <w:tmpl w:val="CB843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5032B"/>
    <w:multiLevelType w:val="hybridMultilevel"/>
    <w:tmpl w:val="65BEB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9C"/>
    <w:rsid w:val="0001458B"/>
    <w:rsid w:val="00034FD9"/>
    <w:rsid w:val="000462DF"/>
    <w:rsid w:val="0005759C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4D9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81548E"/>
  <w15:docId w15:val="{6232ECB6-1AF7-4173-AA48-CDB0E740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paragraph" w:styleId="ListParagraph">
    <w:name w:val="List Paragraph"/>
    <w:basedOn w:val="Normal"/>
    <w:uiPriority w:val="34"/>
    <w:qFormat/>
    <w:rsid w:val="000575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60271/CP-C100-CAV-ASSY2-R3l.docx%5b1%5d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labdoc.jlab.org/docushare/dsweb/Get/Document-60271/CP-C100-CAV-ASSY2-R3l.docx%5b1%5d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6264658B0A4B46B51662C872534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46332-2819-46B9-A925-86AA71477354}"/>
      </w:docPartPr>
      <w:docPartBody>
        <w:p w:rsidR="00000000" w:rsidRDefault="00534BA6">
          <w:pPr>
            <w:pStyle w:val="FD6264658B0A4B46B51662C8725342F3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D6264658B0A4B46B51662C8725342F3">
    <w:name w:val="FD6264658B0A4B46B51662C8725342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AEFDB-3305-4D7B-830C-C6BDE1C0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10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Dreyfuss</dc:creator>
  <cp:lastModifiedBy>Chris Dreyfuss</cp:lastModifiedBy>
  <cp:revision>1</cp:revision>
  <dcterms:created xsi:type="dcterms:W3CDTF">2020-10-23T15:08:00Z</dcterms:created>
  <dcterms:modified xsi:type="dcterms:W3CDTF">2020-10-23T15:20:00Z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