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1E0C95">
        <w:trPr>
          <w:trHeight w:val="293"/>
        </w:trPr>
        <w:tc>
          <w:tcPr>
            <w:tcW w:w="998" w:type="pct"/>
          </w:tcPr>
          <w:p w:rsidR="007D458D" w:rsidRPr="00D97B1C" w:rsidRDefault="007D458D" w:rsidP="00D97B1C">
            <w:r w:rsidRPr="00D97B1C">
              <w:t>Traveler Title</w:t>
            </w:r>
          </w:p>
        </w:tc>
        <w:tc>
          <w:tcPr>
            <w:tcW w:w="4002" w:type="pct"/>
            <w:gridSpan w:val="4"/>
          </w:tcPr>
          <w:p w:rsidR="007D458D" w:rsidRPr="00D97B1C" w:rsidRDefault="004605FE" w:rsidP="00D97B1C">
            <w:r>
              <w:t>CEBAF Girder Assembly and Leak Check</w:t>
            </w:r>
          </w:p>
        </w:tc>
      </w:tr>
      <w:tr w:rsidR="007D458D" w:rsidRPr="00D97B1C" w:rsidTr="001E0C95">
        <w:trPr>
          <w:trHeight w:val="293"/>
        </w:trPr>
        <w:tc>
          <w:tcPr>
            <w:tcW w:w="998" w:type="pct"/>
          </w:tcPr>
          <w:p w:rsidR="007D458D" w:rsidRPr="00D97B1C" w:rsidRDefault="007D458D" w:rsidP="00D97B1C">
            <w:r w:rsidRPr="00D97B1C">
              <w:t>Traveler Abstract</w:t>
            </w:r>
          </w:p>
        </w:tc>
        <w:tc>
          <w:tcPr>
            <w:tcW w:w="4002" w:type="pct"/>
            <w:gridSpan w:val="4"/>
          </w:tcPr>
          <w:p w:rsidR="007D458D" w:rsidRDefault="004605FE" w:rsidP="00D97B1C">
            <w:r>
              <w:t>This traveler outlines the steps necessary to assemble and leak check the warm region vacuum girder assembly.  It captures component serial #’s during the assembly for the girder rework.  Work within this traveler is to be performed by trained and authorized personnel ONLY.  All girder components and materials shall be kept together and contained until they have been surveyed and released by RADCON.</w:t>
            </w:r>
          </w:p>
          <w:p w:rsidR="004605FE" w:rsidRPr="004605FE" w:rsidRDefault="004605FE" w:rsidP="00D97B1C">
            <w:pPr>
              <w:rPr>
                <w:b/>
              </w:rPr>
            </w:pPr>
            <w:r w:rsidRPr="004605FE">
              <w:rPr>
                <w:b/>
              </w:rPr>
              <w:t>**Radiological controls are a critical component of the girder rework disassembly and assembly process.  Dose rate, as well as contamination surveys (where seals are present) shall be performed and analyzed, with information communicated to all involved personnel.  Results will be recorded at traveler hold points.  RW-II training will be required where contamination is identified.**</w:t>
            </w:r>
          </w:p>
        </w:tc>
      </w:tr>
      <w:tr w:rsidR="007D458D" w:rsidRPr="00D97B1C" w:rsidTr="001E0C95">
        <w:trPr>
          <w:trHeight w:val="293"/>
        </w:trPr>
        <w:tc>
          <w:tcPr>
            <w:tcW w:w="998" w:type="pct"/>
          </w:tcPr>
          <w:p w:rsidR="007D458D" w:rsidRPr="00D97B1C" w:rsidRDefault="007D458D" w:rsidP="00D97B1C">
            <w:r w:rsidRPr="00D97B1C">
              <w:t>Traveler ID</w:t>
            </w:r>
          </w:p>
        </w:tc>
        <w:tc>
          <w:tcPr>
            <w:tcW w:w="4002" w:type="pct"/>
            <w:gridSpan w:val="4"/>
          </w:tcPr>
          <w:p w:rsidR="007D458D" w:rsidRPr="00D97B1C" w:rsidRDefault="004605FE" w:rsidP="00D97B1C">
            <w:r>
              <w:t>CEBAF—CLNRM-GIRDER-ASSY</w:t>
            </w:r>
          </w:p>
        </w:tc>
      </w:tr>
      <w:tr w:rsidR="00766F7D" w:rsidRPr="00D97B1C" w:rsidTr="001E0C95">
        <w:trPr>
          <w:trHeight w:val="293"/>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766F7D" w:rsidP="00D97B1C">
            <w:r w:rsidRPr="00D97B1C">
              <w:t>R1</w:t>
            </w:r>
          </w:p>
        </w:tc>
      </w:tr>
      <w:tr w:rsidR="00766F7D" w:rsidRPr="00D97B1C" w:rsidTr="001E0C95">
        <w:trPr>
          <w:trHeight w:val="293"/>
        </w:trPr>
        <w:tc>
          <w:tcPr>
            <w:tcW w:w="998" w:type="pct"/>
          </w:tcPr>
          <w:p w:rsidR="00766F7D" w:rsidRPr="00D97B1C" w:rsidRDefault="00766F7D" w:rsidP="00D97B1C">
            <w:r w:rsidRPr="00D97B1C">
              <w:t>Traveler Author</w:t>
            </w:r>
          </w:p>
        </w:tc>
        <w:tc>
          <w:tcPr>
            <w:tcW w:w="4002" w:type="pct"/>
            <w:gridSpan w:val="4"/>
          </w:tcPr>
          <w:p w:rsidR="00766F7D" w:rsidRPr="00D97B1C" w:rsidRDefault="004605FE" w:rsidP="0052412E">
            <w:r>
              <w:t>Ganey</w:t>
            </w:r>
          </w:p>
        </w:tc>
      </w:tr>
      <w:tr w:rsidR="00766F7D" w:rsidRPr="00D97B1C" w:rsidTr="001E0C95">
        <w:trPr>
          <w:trHeight w:val="293"/>
        </w:trPr>
        <w:tc>
          <w:tcPr>
            <w:tcW w:w="998" w:type="pct"/>
          </w:tcPr>
          <w:p w:rsidR="00766F7D" w:rsidRPr="00D97B1C" w:rsidRDefault="00766F7D" w:rsidP="00D97B1C">
            <w:r w:rsidRPr="00D97B1C">
              <w:t>Traveler Date</w:t>
            </w:r>
          </w:p>
        </w:tc>
        <w:tc>
          <w:tcPr>
            <w:tcW w:w="4002" w:type="pct"/>
            <w:gridSpan w:val="4"/>
          </w:tcPr>
          <w:p w:rsidR="00766F7D" w:rsidRPr="00D97B1C" w:rsidRDefault="00DD7962" w:rsidP="00D97B1C">
            <w:sdt>
              <w:sdtPr>
                <w:id w:val="534233298"/>
                <w:placeholder>
                  <w:docPart w:val="924BF6630D234057B8A6F80CBB7D8970"/>
                </w:placeholder>
                <w:showingPlcHdr/>
                <w:date>
                  <w:dateFormat w:val="d-MMM-yy"/>
                  <w:lid w:val="en-US"/>
                  <w:storeMappedDataAs w:val="dateTime"/>
                  <w:calendar w:val="gregorian"/>
                </w:date>
              </w:sdtPr>
              <w:sdtContent>
                <w:r w:rsidR="0037791E" w:rsidRPr="005C02B9">
                  <w:rPr>
                    <w:rStyle w:val="PlaceholderText"/>
                    <w:rFonts w:eastAsiaTheme="minorHAnsi"/>
                  </w:rPr>
                  <w:t>Click or tap to enter a date.</w:t>
                </w:r>
              </w:sdtContent>
            </w:sdt>
          </w:p>
        </w:tc>
      </w:tr>
      <w:tr w:rsidR="00EA63EB" w:rsidRPr="00D97B1C" w:rsidTr="001E0C95">
        <w:trPr>
          <w:trHeight w:val="293"/>
        </w:trPr>
        <w:tc>
          <w:tcPr>
            <w:tcW w:w="998" w:type="pct"/>
          </w:tcPr>
          <w:p w:rsidR="00EA63EB" w:rsidRPr="00D97B1C" w:rsidRDefault="00EA63EB" w:rsidP="00D97B1C">
            <w:r>
              <w:t>NCR Informative Emails</w:t>
            </w:r>
          </w:p>
        </w:tc>
        <w:tc>
          <w:tcPr>
            <w:tcW w:w="4002" w:type="pct"/>
            <w:gridSpan w:val="4"/>
          </w:tcPr>
          <w:p w:rsidR="00EA63EB" w:rsidRPr="00D97B1C" w:rsidRDefault="004372F4" w:rsidP="00D97B1C">
            <w:r>
              <w:t>Forehand, DiPette, Drury</w:t>
            </w:r>
          </w:p>
        </w:tc>
      </w:tr>
      <w:tr w:rsidR="00766F7D" w:rsidRPr="00D97B1C" w:rsidTr="001E0C95">
        <w:trPr>
          <w:trHeight w:val="293"/>
        </w:trPr>
        <w:tc>
          <w:tcPr>
            <w:tcW w:w="998" w:type="pct"/>
          </w:tcPr>
          <w:p w:rsidR="00766F7D" w:rsidRPr="00D97B1C" w:rsidRDefault="00EA63EB" w:rsidP="00D97B1C">
            <w:r>
              <w:t>NCR Dispositioners</w:t>
            </w:r>
          </w:p>
        </w:tc>
        <w:tc>
          <w:tcPr>
            <w:tcW w:w="4002" w:type="pct"/>
            <w:gridSpan w:val="4"/>
          </w:tcPr>
          <w:p w:rsidR="00766F7D" w:rsidRPr="00D97B1C" w:rsidRDefault="004372F4" w:rsidP="00D97B1C">
            <w:r>
              <w:t>Palczewski, Valente-Feliciano, Ganey</w:t>
            </w:r>
          </w:p>
        </w:tc>
      </w:tr>
      <w:tr w:rsidR="009E7B59" w:rsidRPr="00D97B1C" w:rsidTr="001E0C95">
        <w:trPr>
          <w:trHeight w:val="293"/>
        </w:trPr>
        <w:tc>
          <w:tcPr>
            <w:tcW w:w="998" w:type="pct"/>
          </w:tcPr>
          <w:p w:rsidR="009E7B59" w:rsidRPr="00D97B1C" w:rsidRDefault="009E7B59" w:rsidP="00D97B1C">
            <w:r>
              <w:t>D3 Emails</w:t>
            </w:r>
          </w:p>
        </w:tc>
        <w:tc>
          <w:tcPr>
            <w:tcW w:w="4002" w:type="pct"/>
            <w:gridSpan w:val="4"/>
          </w:tcPr>
          <w:p w:rsidR="009E7B59" w:rsidRPr="00D97B1C" w:rsidRDefault="004372F4" w:rsidP="00D97B1C">
            <w:r>
              <w:t>Forehand, DiPiette, Drury, Palczewski, Valente-Feliciano, Ganey</w:t>
            </w:r>
          </w:p>
        </w:tc>
      </w:tr>
      <w:tr w:rsidR="008668E5" w:rsidRPr="00D97B1C" w:rsidTr="001E0C95">
        <w:trPr>
          <w:trHeight w:val="293"/>
        </w:trPr>
        <w:tc>
          <w:tcPr>
            <w:tcW w:w="998" w:type="pct"/>
          </w:tcPr>
          <w:p w:rsidR="008668E5" w:rsidRPr="00D97B1C" w:rsidRDefault="008668E5" w:rsidP="008668E5">
            <w:r w:rsidRPr="00D97B1C">
              <w:t>Approval Names</w:t>
            </w:r>
          </w:p>
        </w:tc>
        <w:tc>
          <w:tcPr>
            <w:tcW w:w="1001" w:type="pct"/>
          </w:tcPr>
          <w:p w:rsidR="008668E5" w:rsidRPr="00D97B1C" w:rsidRDefault="008668E5" w:rsidP="008668E5">
            <w:r>
              <w:t>T. Ganey</w:t>
            </w:r>
          </w:p>
        </w:tc>
        <w:tc>
          <w:tcPr>
            <w:tcW w:w="1000" w:type="pct"/>
          </w:tcPr>
          <w:p w:rsidR="008668E5" w:rsidRDefault="008668E5" w:rsidP="008668E5">
            <w:r>
              <w:t>D. Forehand</w:t>
            </w:r>
          </w:p>
        </w:tc>
        <w:tc>
          <w:tcPr>
            <w:tcW w:w="1000" w:type="pct"/>
          </w:tcPr>
          <w:p w:rsidR="008668E5" w:rsidRDefault="008668E5" w:rsidP="008668E5">
            <w:r>
              <w:t>A. Palczewski</w:t>
            </w:r>
          </w:p>
        </w:tc>
        <w:tc>
          <w:tcPr>
            <w:tcW w:w="1001" w:type="pct"/>
          </w:tcPr>
          <w:p w:rsidR="008668E5" w:rsidRDefault="008668E5" w:rsidP="008668E5">
            <w:r>
              <w:t>M. Drury</w:t>
            </w:r>
          </w:p>
        </w:tc>
      </w:tr>
      <w:tr w:rsidR="008668E5" w:rsidRPr="00D97B1C" w:rsidTr="001E0C95">
        <w:trPr>
          <w:trHeight w:val="293"/>
        </w:trPr>
        <w:tc>
          <w:tcPr>
            <w:tcW w:w="998" w:type="pct"/>
          </w:tcPr>
          <w:p w:rsidR="008668E5" w:rsidRPr="00D97B1C" w:rsidRDefault="008668E5" w:rsidP="008668E5">
            <w:r>
              <w:t>Approval Signatures</w:t>
            </w:r>
          </w:p>
        </w:tc>
        <w:tc>
          <w:tcPr>
            <w:tcW w:w="1001" w:type="pct"/>
          </w:tcPr>
          <w:p w:rsidR="008668E5" w:rsidRPr="00D97B1C" w:rsidRDefault="008668E5" w:rsidP="008668E5"/>
        </w:tc>
        <w:tc>
          <w:tcPr>
            <w:tcW w:w="1000" w:type="pct"/>
          </w:tcPr>
          <w:p w:rsidR="008668E5" w:rsidRPr="00D97B1C" w:rsidRDefault="008668E5" w:rsidP="008668E5"/>
        </w:tc>
        <w:tc>
          <w:tcPr>
            <w:tcW w:w="1000" w:type="pct"/>
          </w:tcPr>
          <w:p w:rsidR="008668E5" w:rsidRPr="00D97B1C" w:rsidRDefault="008668E5" w:rsidP="008668E5"/>
        </w:tc>
        <w:tc>
          <w:tcPr>
            <w:tcW w:w="1001" w:type="pct"/>
          </w:tcPr>
          <w:p w:rsidR="008668E5" w:rsidRPr="00D97B1C" w:rsidRDefault="008668E5" w:rsidP="008668E5"/>
        </w:tc>
      </w:tr>
      <w:tr w:rsidR="008668E5" w:rsidRPr="00D97B1C" w:rsidTr="001E0C95">
        <w:trPr>
          <w:trHeight w:val="293"/>
        </w:trPr>
        <w:tc>
          <w:tcPr>
            <w:tcW w:w="998" w:type="pct"/>
          </w:tcPr>
          <w:p w:rsidR="008668E5" w:rsidRPr="00D97B1C" w:rsidRDefault="008668E5" w:rsidP="008668E5">
            <w:r w:rsidRPr="00D97B1C">
              <w:t>Approval Date</w:t>
            </w:r>
            <w:r>
              <w:t>s</w:t>
            </w:r>
          </w:p>
        </w:tc>
        <w:tc>
          <w:tcPr>
            <w:tcW w:w="1001" w:type="pct"/>
          </w:tcPr>
          <w:p w:rsidR="008668E5" w:rsidRPr="00D97B1C" w:rsidRDefault="008668E5" w:rsidP="008668E5"/>
        </w:tc>
        <w:tc>
          <w:tcPr>
            <w:tcW w:w="1000" w:type="pct"/>
          </w:tcPr>
          <w:p w:rsidR="008668E5" w:rsidRPr="00D97B1C" w:rsidRDefault="008668E5" w:rsidP="008668E5"/>
        </w:tc>
        <w:tc>
          <w:tcPr>
            <w:tcW w:w="1000" w:type="pct"/>
          </w:tcPr>
          <w:p w:rsidR="008668E5" w:rsidRPr="00D97B1C" w:rsidRDefault="008668E5" w:rsidP="008668E5"/>
        </w:tc>
        <w:tc>
          <w:tcPr>
            <w:tcW w:w="1001" w:type="pct"/>
          </w:tcPr>
          <w:p w:rsidR="008668E5" w:rsidRPr="00D97B1C" w:rsidRDefault="008668E5" w:rsidP="008668E5"/>
        </w:tc>
      </w:tr>
      <w:tr w:rsidR="008668E5" w:rsidRPr="00D97B1C" w:rsidTr="001E0C95">
        <w:trPr>
          <w:trHeight w:val="293"/>
        </w:trPr>
        <w:tc>
          <w:tcPr>
            <w:tcW w:w="998" w:type="pct"/>
          </w:tcPr>
          <w:p w:rsidR="008668E5" w:rsidRPr="00D97B1C" w:rsidRDefault="008668E5" w:rsidP="008668E5">
            <w:r w:rsidRPr="00D97B1C">
              <w:t>Approval Title</w:t>
            </w:r>
          </w:p>
        </w:tc>
        <w:tc>
          <w:tcPr>
            <w:tcW w:w="1001" w:type="pct"/>
          </w:tcPr>
          <w:p w:rsidR="008668E5" w:rsidRPr="00D97B1C" w:rsidRDefault="008668E5" w:rsidP="008668E5">
            <w:r w:rsidRPr="00D97B1C">
              <w:t>Author</w:t>
            </w:r>
          </w:p>
        </w:tc>
        <w:tc>
          <w:tcPr>
            <w:tcW w:w="1000" w:type="pct"/>
          </w:tcPr>
          <w:p w:rsidR="008668E5" w:rsidRPr="00D97B1C" w:rsidRDefault="008668E5" w:rsidP="008668E5">
            <w:r w:rsidRPr="00D97B1C">
              <w:t>Reviewer</w:t>
            </w:r>
          </w:p>
        </w:tc>
        <w:tc>
          <w:tcPr>
            <w:tcW w:w="1000" w:type="pct"/>
          </w:tcPr>
          <w:p w:rsidR="008668E5" w:rsidRPr="00D97B1C" w:rsidRDefault="008668E5" w:rsidP="008668E5">
            <w:r>
              <w:t>Reviewer</w:t>
            </w:r>
          </w:p>
        </w:tc>
        <w:tc>
          <w:tcPr>
            <w:tcW w:w="1001" w:type="pct"/>
          </w:tcPr>
          <w:p w:rsidR="008668E5" w:rsidRPr="00D97B1C" w:rsidRDefault="008668E5" w:rsidP="008668E5">
            <w:r w:rsidRPr="00D97B1C">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013708" w:rsidRPr="00013708" w:rsidRDefault="007D458D" w:rsidP="00013708">
            <w:r w:rsidRPr="00D97B1C">
              <w:t>References</w:t>
            </w:r>
          </w:p>
          <w:p w:rsidR="007D458D" w:rsidRPr="00013708" w:rsidRDefault="007D458D" w:rsidP="00013708"/>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rsidTr="00A841DF">
        <w:trPr>
          <w:cantSplit/>
          <w:trHeight w:val="288"/>
        </w:trPr>
        <w:tc>
          <w:tcPr>
            <w:tcW w:w="999" w:type="pct"/>
          </w:tcPr>
          <w:p w:rsidR="007D458D" w:rsidRPr="00013708" w:rsidRDefault="006F55B3" w:rsidP="005B6A1F">
            <w:pPr>
              <w:autoSpaceDE w:val="0"/>
              <w:autoSpaceDN w:val="0"/>
              <w:adjustRightInd w:val="0"/>
            </w:pPr>
            <w:hyperlink r:id="rId8" w:history="1">
              <w:r w:rsidR="004372F4" w:rsidRPr="006F55B3">
                <w:rPr>
                  <w:rStyle w:val="Hyperlink"/>
                </w:rPr>
                <w:t>11131-D-0137</w:t>
              </w:r>
            </w:hyperlink>
            <w:r w:rsidR="004372F4">
              <w:t xml:space="preserve"> – Linac Beam Transport Warm Region Beam Tube Assembly QD Girders</w:t>
            </w:r>
          </w:p>
        </w:tc>
        <w:tc>
          <w:tcPr>
            <w:tcW w:w="999" w:type="pct"/>
          </w:tcPr>
          <w:p w:rsidR="007D458D" w:rsidRPr="00D97B1C" w:rsidRDefault="006F55B3" w:rsidP="004372F4">
            <w:pPr>
              <w:autoSpaceDE w:val="0"/>
              <w:autoSpaceDN w:val="0"/>
              <w:adjustRightInd w:val="0"/>
            </w:pPr>
            <w:hyperlink r:id="rId9" w:history="1">
              <w:r w:rsidR="004372F4" w:rsidRPr="006F55B3">
                <w:rPr>
                  <w:rStyle w:val="Hyperlink"/>
                </w:rPr>
                <w:t>11230-D-0019</w:t>
              </w:r>
            </w:hyperlink>
            <w:r w:rsidR="004372F4">
              <w:t xml:space="preserve"> – Beam Transport Warm Region 45 degree Pump Drop Upgraded Assembly</w:t>
            </w:r>
          </w:p>
        </w:tc>
        <w:tc>
          <w:tcPr>
            <w:tcW w:w="1001" w:type="pct"/>
          </w:tcPr>
          <w:p w:rsidR="007D458D" w:rsidRPr="00D97B1C" w:rsidRDefault="006F55B3" w:rsidP="00D97B1C">
            <w:hyperlink r:id="rId10" w:history="1">
              <w:r w:rsidR="004372F4" w:rsidRPr="006F55B3">
                <w:rPr>
                  <w:rStyle w:val="Hyperlink"/>
                </w:rPr>
                <w:t>ACC1200120-</w:t>
              </w:r>
              <w:r w:rsidRPr="006F55B3">
                <w:rPr>
                  <w:rStyle w:val="Hyperlink"/>
                </w:rPr>
                <w:t>0</w:t>
              </w:r>
              <w:r w:rsidR="004372F4" w:rsidRPr="006F55B3">
                <w:rPr>
                  <w:rStyle w:val="Hyperlink"/>
                </w:rPr>
                <w:t>159</w:t>
              </w:r>
            </w:hyperlink>
            <w:r w:rsidR="004372F4">
              <w:t xml:space="preserve"> – ACC Girders Girder Assembly VIP-VRV-DB/H-BPM-QB Warm GRD Assy</w:t>
            </w:r>
          </w:p>
        </w:tc>
        <w:tc>
          <w:tcPr>
            <w:tcW w:w="1001" w:type="pct"/>
          </w:tcPr>
          <w:p w:rsidR="007D458D" w:rsidRPr="00D97B1C" w:rsidRDefault="006F55B3" w:rsidP="00D97B1C">
            <w:hyperlink r:id="rId11" w:history="1">
              <w:r w:rsidR="004372F4" w:rsidRPr="006F55B3">
                <w:rPr>
                  <w:rStyle w:val="Hyperlink"/>
                </w:rPr>
                <w:t>ACC1200120-0185</w:t>
              </w:r>
            </w:hyperlink>
            <w:r w:rsidR="004372F4">
              <w:t xml:space="preserve"> – ACC Girders Girder Assemblies Warm Region Interface Drawing</w:t>
            </w:r>
          </w:p>
        </w:tc>
        <w:tc>
          <w:tcPr>
            <w:tcW w:w="1000" w:type="pct"/>
          </w:tcPr>
          <w:p w:rsidR="007D458D" w:rsidRPr="00D97B1C" w:rsidRDefault="006F55B3" w:rsidP="00D97B1C">
            <w:hyperlink r:id="rId12" w:history="1">
              <w:r w:rsidR="004372F4" w:rsidRPr="006F55B3">
                <w:rPr>
                  <w:rStyle w:val="Hyperlink"/>
                </w:rPr>
                <w:t>VAC5555000-0231</w:t>
              </w:r>
            </w:hyperlink>
            <w:r w:rsidR="004372F4">
              <w:t xml:space="preserve"> – ACC Girders Girder Assemblies Warm Region Vacuum Assy</w:t>
            </w:r>
          </w:p>
        </w:tc>
      </w:tr>
      <w:tr w:rsidR="007D458D" w:rsidRPr="00D97B1C" w:rsidTr="00A841DF">
        <w:trPr>
          <w:cantSplit/>
          <w:trHeight w:val="288"/>
        </w:trPr>
        <w:tc>
          <w:tcPr>
            <w:tcW w:w="999" w:type="pct"/>
          </w:tcPr>
          <w:p w:rsidR="007D458D" w:rsidRPr="00D97B1C" w:rsidRDefault="006F55B3" w:rsidP="00D97B1C">
            <w:hyperlink r:id="rId13" w:history="1">
              <w:r w:rsidR="004372F4" w:rsidRPr="006F55B3">
                <w:rPr>
                  <w:rStyle w:val="Hyperlink"/>
                </w:rPr>
                <w:t>VAC5555000-0233</w:t>
              </w:r>
            </w:hyperlink>
            <w:bookmarkStart w:id="0" w:name="_GoBack"/>
            <w:bookmarkEnd w:id="0"/>
            <w:r w:rsidR="004372F4">
              <w:t xml:space="preserve"> – VAC Tubes and Chambers Tubes and Assemblies 12 GeV Warm Region Pump Drop</w:t>
            </w:r>
          </w:p>
        </w:tc>
        <w:tc>
          <w:tcPr>
            <w:tcW w:w="999" w:type="pct"/>
          </w:tcPr>
          <w:p w:rsidR="007D458D" w:rsidRPr="00D97B1C" w:rsidRDefault="004372F4" w:rsidP="00D97B1C">
            <w:hyperlink r:id="rId14" w:history="1">
              <w:r w:rsidRPr="00812424">
                <w:rPr>
                  <w:rStyle w:val="Hyperlink"/>
                </w:rPr>
                <w:t>22634-S-001</w:t>
              </w:r>
            </w:hyperlink>
            <w:r w:rsidRPr="00812424">
              <w:t xml:space="preserve"> – Helium Leak Test Procedure for Ultra High Vacuum Components</w:t>
            </w:r>
          </w:p>
        </w:tc>
        <w:tc>
          <w:tcPr>
            <w:tcW w:w="1001" w:type="pct"/>
          </w:tcPr>
          <w:p w:rsidR="00BB481D" w:rsidRPr="00D97B1C" w:rsidRDefault="00BB481D" w:rsidP="00BB481D">
            <w:r>
              <w:t xml:space="preserve">EES-PR-02-002 - </w:t>
            </w:r>
            <w:r w:rsidRPr="00261BD4">
              <w:t>BPM Cavity Acce</w:t>
            </w:r>
            <w:r>
              <w:t>ptance Test</w:t>
            </w:r>
          </w:p>
        </w:tc>
        <w:tc>
          <w:tcPr>
            <w:tcW w:w="1001" w:type="pct"/>
          </w:tcPr>
          <w:p w:rsidR="007D458D" w:rsidRPr="00D97B1C" w:rsidRDefault="00BB481D" w:rsidP="00D97B1C">
            <w:hyperlink r:id="rId15" w:history="1">
              <w:r w:rsidRPr="00261BD4">
                <w:rPr>
                  <w:rStyle w:val="Hyperlink"/>
                </w:rPr>
                <w:t>SRF-19-83800-OSP</w:t>
              </w:r>
            </w:hyperlink>
            <w:r w:rsidRPr="00261BD4">
              <w:t xml:space="preserve"> - OSP for Safe Operations in the Production Chemistry Room</w:t>
            </w:r>
          </w:p>
        </w:tc>
        <w:tc>
          <w:tcPr>
            <w:tcW w:w="1000" w:type="pct"/>
          </w:tcPr>
          <w:p w:rsidR="007D458D" w:rsidRPr="00D97B1C" w:rsidRDefault="00BB481D" w:rsidP="00D97B1C">
            <w:hyperlink r:id="rId16" w:history="1">
              <w:r w:rsidRPr="00882571">
                <w:rPr>
                  <w:rStyle w:val="Hyperlink"/>
                </w:rPr>
                <w:t>Alconox User’s Manual</w:t>
              </w:r>
            </w:hyperlink>
            <w:r w:rsidRPr="00EC5AAA">
              <w:rPr>
                <w:b/>
              </w:rPr>
              <w:t xml:space="preserve"> </w:t>
            </w:r>
            <w:r w:rsidRPr="00EC5AAA">
              <w:t>- User’s manual for Alconox detergents</w:t>
            </w:r>
          </w:p>
        </w:tc>
      </w:tr>
      <w:tr w:rsidR="00BB481D" w:rsidRPr="00D97B1C" w:rsidTr="00A841DF">
        <w:trPr>
          <w:cantSplit/>
          <w:trHeight w:val="288"/>
        </w:trPr>
        <w:tc>
          <w:tcPr>
            <w:tcW w:w="999" w:type="pct"/>
          </w:tcPr>
          <w:p w:rsidR="00BB481D" w:rsidRDefault="00BB481D" w:rsidP="00D97B1C">
            <w:hyperlink r:id="rId17" w:history="1">
              <w:r w:rsidRPr="00261BD4">
                <w:rPr>
                  <w:rStyle w:val="Hyperlink"/>
                  <w:bCs/>
                </w:rPr>
                <w:t>Chemistry Cleaning Procedures</w:t>
              </w:r>
            </w:hyperlink>
          </w:p>
        </w:tc>
        <w:tc>
          <w:tcPr>
            <w:tcW w:w="999" w:type="pct"/>
          </w:tcPr>
          <w:p w:rsidR="00BB481D" w:rsidRDefault="006F55B3" w:rsidP="00D97B1C">
            <w:pPr>
              <w:rPr>
                <w:color w:val="000000"/>
              </w:rPr>
            </w:pPr>
            <w:hyperlink r:id="rId18" w:history="1">
              <w:r w:rsidR="00852D3F" w:rsidRPr="006F55B3">
                <w:rPr>
                  <w:rStyle w:val="Hyperlink"/>
                </w:rPr>
                <w:t>CP-L2PRD-CLN-PUMP</w:t>
              </w:r>
            </w:hyperlink>
            <w:r w:rsidR="00852D3F">
              <w:t xml:space="preserve"> – Clean Room Production Pump System Operation</w:t>
            </w:r>
          </w:p>
        </w:tc>
        <w:tc>
          <w:tcPr>
            <w:tcW w:w="1001" w:type="pct"/>
          </w:tcPr>
          <w:p w:rsidR="00BB481D" w:rsidRDefault="00BB481D" w:rsidP="00BB481D"/>
        </w:tc>
        <w:tc>
          <w:tcPr>
            <w:tcW w:w="1001" w:type="pct"/>
          </w:tcPr>
          <w:p w:rsidR="00BB481D" w:rsidRPr="00261BD4" w:rsidRDefault="00BB481D" w:rsidP="00D97B1C">
            <w:pPr>
              <w:rPr>
                <w:color w:val="000000"/>
              </w:rPr>
            </w:pPr>
          </w:p>
        </w:tc>
        <w:tc>
          <w:tcPr>
            <w:tcW w:w="1000" w:type="pct"/>
          </w:tcPr>
          <w:p w:rsidR="00BB481D" w:rsidRDefault="00BB481D" w:rsidP="00D97B1C">
            <w:pPr>
              <w:rPr>
                <w:color w:val="000000"/>
              </w:rPr>
            </w:pPr>
          </w:p>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206"/>
        <w:gridCol w:w="7365"/>
        <w:gridCol w:w="4379"/>
      </w:tblGrid>
      <w:tr w:rsidR="007D458D" w:rsidRPr="00D97B1C" w:rsidTr="008668E5">
        <w:trPr>
          <w:trHeight w:val="288"/>
        </w:trPr>
        <w:tc>
          <w:tcPr>
            <w:tcW w:w="1206" w:type="dxa"/>
          </w:tcPr>
          <w:p w:rsidR="007D458D" w:rsidRPr="00D97B1C" w:rsidRDefault="007D458D" w:rsidP="00D97B1C">
            <w:r w:rsidRPr="00D97B1C">
              <w:lastRenderedPageBreak/>
              <w:t>Step No.</w:t>
            </w:r>
          </w:p>
        </w:tc>
        <w:tc>
          <w:tcPr>
            <w:tcW w:w="7365"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8668E5" w:rsidRPr="00D97B1C" w:rsidTr="008668E5">
        <w:trPr>
          <w:trHeight w:val="288"/>
        </w:trPr>
        <w:tc>
          <w:tcPr>
            <w:tcW w:w="1206" w:type="dxa"/>
          </w:tcPr>
          <w:p w:rsidR="008668E5" w:rsidRPr="00D97B1C" w:rsidRDefault="008668E5" w:rsidP="008668E5">
            <w:r>
              <w:t>*Note:</w:t>
            </w:r>
          </w:p>
        </w:tc>
        <w:tc>
          <w:tcPr>
            <w:tcW w:w="7365" w:type="dxa"/>
          </w:tcPr>
          <w:p w:rsidR="008668E5" w:rsidRDefault="008668E5" w:rsidP="008668E5">
            <w:p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spacing w:line="240" w:lineRule="atLeast"/>
            </w:pPr>
            <w:r>
              <w:t xml:space="preserve">1.  During the girder re-work process, there will be some items labeled as “Radioactive Material”.  </w:t>
            </w:r>
            <w:r w:rsidRPr="00F432CC">
              <w:rPr>
                <w:b/>
                <w:color w:val="0000FF"/>
              </w:rPr>
              <w:t xml:space="preserve">Radioactive Material (RAM) </w:t>
            </w:r>
            <w:r>
              <w:t>is defined in the RadCon manual as any activated material, equipment or system component with radiation levels distinguishable from background.  The following guidelines are to be adhered to when handling RAM in order to follow Radcon requirements:</w:t>
            </w:r>
          </w:p>
          <w:p w:rsidR="008668E5" w:rsidRDefault="008668E5" w:rsidP="008668E5">
            <w:pPr>
              <w:widowControl w:val="0"/>
              <w:numPr>
                <w:ilvl w:val="0"/>
                <w:numId w:val="2"/>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There are no requirements for dosimetry for Radioactive Material Areas unless otherwise notified by a member of the RCD.</w:t>
            </w:r>
          </w:p>
          <w:p w:rsidR="008668E5" w:rsidRDefault="008668E5" w:rsidP="008668E5">
            <w:pPr>
              <w:widowControl w:val="0"/>
              <w:numPr>
                <w:ilvl w:val="0"/>
                <w:numId w:val="2"/>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Persons must be Radiation Worker I qualified to handle RAM.</w:t>
            </w:r>
          </w:p>
          <w:p w:rsidR="008668E5" w:rsidRDefault="008668E5" w:rsidP="008668E5">
            <w:pPr>
              <w:widowControl w:val="0"/>
              <w:numPr>
                <w:ilvl w:val="0"/>
                <w:numId w:val="2"/>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The RAM tag must accompany the item at all times with the following exceptions.  Cleaning, heating or any process in which the tag will impede that process or</w:t>
            </w:r>
            <w:r w:rsidRPr="00984ED3">
              <w:t xml:space="preserve"> </w:t>
            </w:r>
            <w:r>
              <w:t>the tag could be potentially damaged or destroyed.</w:t>
            </w:r>
          </w:p>
          <w:p w:rsidR="008668E5" w:rsidRDefault="008668E5" w:rsidP="008668E5">
            <w:pPr>
              <w:widowControl w:val="0"/>
              <w:numPr>
                <w:ilvl w:val="0"/>
                <w:numId w:val="2"/>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When performing processes</w:t>
            </w:r>
            <w:r w:rsidRPr="00A42A93">
              <w:t xml:space="preserve"> </w:t>
            </w:r>
            <w:r>
              <w:t>listed above, the tag is to be removed by personnel</w:t>
            </w:r>
            <w:r w:rsidRPr="00A42A93">
              <w:t xml:space="preserve"> </w:t>
            </w:r>
            <w:r>
              <w:t>performing the task and placed on the RAM tag board located in the</w:t>
            </w:r>
            <w:r w:rsidRPr="00A42A93">
              <w:t xml:space="preserve"> </w:t>
            </w:r>
            <w:r>
              <w:t>area.</w:t>
            </w:r>
          </w:p>
          <w:p w:rsidR="008668E5" w:rsidRDefault="008668E5" w:rsidP="008668E5">
            <w:pPr>
              <w:widowControl w:val="0"/>
              <w:numPr>
                <w:ilvl w:val="0"/>
                <w:numId w:val="2"/>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Each component removed from the girder needs to be tagged with a Radcon coupon, recorded on the dedicated list.</w:t>
            </w:r>
          </w:p>
          <w:p w:rsidR="008668E5" w:rsidRPr="009B7CC8" w:rsidRDefault="008668E5" w:rsidP="008668E5">
            <w:pPr>
              <w:widowControl w:val="0"/>
              <w:numPr>
                <w:ilvl w:val="0"/>
                <w:numId w:val="2"/>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rPr>
                <w:color w:val="FF0000"/>
              </w:rPr>
            </w:pPr>
            <w:r w:rsidRPr="009B7CC8">
              <w:rPr>
                <w:color w:val="FF0000"/>
              </w:rPr>
              <w:t>All hardware (bolts, nuts, gaskets…) needs to be gathered in a Rad waste bag.</w:t>
            </w:r>
          </w:p>
          <w:p w:rsidR="008668E5" w:rsidRDefault="008668E5" w:rsidP="008668E5">
            <w:pPr>
              <w:widowControl w:val="0"/>
              <w:numPr>
                <w:ilvl w:val="0"/>
                <w:numId w:val="2"/>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Once task is complete,</w:t>
            </w:r>
            <w:r w:rsidRPr="00DF165A">
              <w:t xml:space="preserve"> </w:t>
            </w:r>
            <w:r>
              <w:t>the tag is to be placed back on the material/equipment.</w:t>
            </w:r>
          </w:p>
          <w:p w:rsidR="008668E5" w:rsidRDefault="008668E5" w:rsidP="008668E5">
            <w:pPr>
              <w:widowControl w:val="0"/>
              <w:numPr>
                <w:ilvl w:val="0"/>
                <w:numId w:val="2"/>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Eating, drinking or smoking is not permitted in Radioactive Material Areas.</w:t>
            </w:r>
          </w:p>
          <w:p w:rsidR="008668E5" w:rsidRDefault="008668E5" w:rsidP="008668E5">
            <w:pPr>
              <w:widowControl w:val="0"/>
              <w:numPr>
                <w:ilvl w:val="0"/>
                <w:numId w:val="2"/>
              </w:numPr>
              <w:tabs>
                <w:tab w:val="left" w:pos="-1440"/>
                <w:tab w:val="left" w:pos="-720"/>
                <w:tab w:val="left" w:pos="0"/>
                <w:tab w:val="left" w:pos="450"/>
                <w:tab w:val="left" w:pos="1170"/>
                <w:tab w:val="left" w:pos="1800"/>
                <w:tab w:val="left" w:pos="4050"/>
                <w:tab w:val="left" w:pos="6480"/>
                <w:tab w:val="left" w:pos="7110"/>
                <w:tab w:val="left" w:pos="9990"/>
                <w:tab w:val="left" w:pos="10800"/>
              </w:tabs>
              <w:suppressAutoHyphens/>
              <w:autoSpaceDE w:val="0"/>
              <w:autoSpaceDN w:val="0"/>
              <w:adjustRightInd w:val="0"/>
              <w:spacing w:line="240" w:lineRule="atLeast"/>
            </w:pPr>
            <w:r>
              <w:t>Remove all tags prior to installation of cryomodule in the Accelerator</w:t>
            </w:r>
          </w:p>
          <w:p w:rsidR="008668E5" w:rsidRDefault="008668E5" w:rsidP="008668E5">
            <w:pPr>
              <w:rPr>
                <w:b/>
                <w:color w:val="FF0000"/>
              </w:rPr>
            </w:pPr>
            <w:r w:rsidRPr="00AD6D18">
              <w:rPr>
                <w:b/>
                <w:color w:val="FF0000"/>
              </w:rPr>
              <w:t>Task</w:t>
            </w:r>
            <w:r>
              <w:rPr>
                <w:b/>
                <w:color w:val="FF0000"/>
              </w:rPr>
              <w:t>s</w:t>
            </w:r>
            <w:r w:rsidRPr="00AD6D18">
              <w:rPr>
                <w:b/>
                <w:color w:val="FF0000"/>
              </w:rPr>
              <w:t xml:space="preserve"> </w:t>
            </w:r>
            <w:r>
              <w:rPr>
                <w:b/>
                <w:color w:val="FF0000"/>
              </w:rPr>
              <w:t xml:space="preserve">associated with this traveler </w:t>
            </w:r>
            <w:r w:rsidRPr="00AD6D18">
              <w:rPr>
                <w:b/>
                <w:color w:val="FF0000"/>
              </w:rPr>
              <w:t>will be performed in the designated area of the clean room</w:t>
            </w:r>
            <w:r>
              <w:rPr>
                <w:b/>
                <w:color w:val="FF0000"/>
              </w:rPr>
              <w:t>.</w:t>
            </w:r>
          </w:p>
          <w:p w:rsidR="008668E5" w:rsidRDefault="008668E5" w:rsidP="008668E5">
            <w:pPr>
              <w:rPr>
                <w:b/>
                <w:color w:val="FF0000"/>
              </w:rPr>
            </w:pPr>
          </w:p>
          <w:p w:rsidR="008668E5" w:rsidRPr="00AD6D18" w:rsidRDefault="008668E5" w:rsidP="008668E5">
            <w:pPr>
              <w:rPr>
                <w:b/>
              </w:rPr>
            </w:pPr>
            <w:r>
              <w:rPr>
                <w:b/>
                <w:color w:val="FF0000"/>
              </w:rPr>
              <w:t>2 .The girder needs to be maintained upright in the same orientation it had on the beamline.  Do not flip over, topple, …</w:t>
            </w:r>
          </w:p>
        </w:tc>
        <w:tc>
          <w:tcPr>
            <w:tcW w:w="4379" w:type="dxa"/>
            <w:noWrap/>
          </w:tcPr>
          <w:p w:rsidR="008668E5" w:rsidRPr="00D97B1C" w:rsidRDefault="008668E5" w:rsidP="008668E5"/>
        </w:tc>
      </w:tr>
    </w:tbl>
    <w:p w:rsidR="001E1ADA" w:rsidRDefault="001E1ADA" w:rsidP="00D97B1C"/>
    <w:p w:rsidR="001E1ADA" w:rsidRDefault="001E1ADA">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1E1ADA" w:rsidTr="001E1ADA">
        <w:tc>
          <w:tcPr>
            <w:tcW w:w="566" w:type="pct"/>
            <w:vAlign w:val="center"/>
          </w:tcPr>
          <w:p w:rsidR="001E1ADA" w:rsidRPr="001E1ADA" w:rsidRDefault="001E1ADA" w:rsidP="001E1ADA">
            <w:pPr>
              <w:jc w:val="center"/>
              <w:rPr>
                <w:rStyle w:val="Strong"/>
              </w:rPr>
            </w:pPr>
            <w:r>
              <w:rPr>
                <w:rStyle w:val="Strong"/>
              </w:rPr>
              <w:lastRenderedPageBreak/>
              <w:t>Step No</w:t>
            </w:r>
          </w:p>
        </w:tc>
        <w:tc>
          <w:tcPr>
            <w:tcW w:w="2547" w:type="pct"/>
            <w:vAlign w:val="center"/>
          </w:tcPr>
          <w:p w:rsidR="001E1ADA" w:rsidRPr="001E1ADA" w:rsidRDefault="001E1ADA" w:rsidP="001E1ADA">
            <w:pPr>
              <w:jc w:val="center"/>
              <w:rPr>
                <w:rStyle w:val="Strong"/>
              </w:rPr>
            </w:pPr>
            <w:r>
              <w:rPr>
                <w:rStyle w:val="Strong"/>
              </w:rPr>
              <w:t>Instructions</w:t>
            </w:r>
          </w:p>
        </w:tc>
        <w:tc>
          <w:tcPr>
            <w:tcW w:w="1887" w:type="pct"/>
            <w:vAlign w:val="center"/>
          </w:tcPr>
          <w:p w:rsidR="001E1ADA" w:rsidRPr="001E1ADA" w:rsidRDefault="001E1ADA" w:rsidP="001E1ADA">
            <w:pPr>
              <w:jc w:val="center"/>
              <w:rPr>
                <w:rStyle w:val="Strong"/>
              </w:rPr>
            </w:pPr>
            <w:r>
              <w:rPr>
                <w:rStyle w:val="Strong"/>
              </w:rPr>
              <w:t>Data Inputs</w:t>
            </w:r>
          </w:p>
        </w:tc>
      </w:tr>
      <w:tr w:rsidR="001E1ADA" w:rsidTr="001E1ADA">
        <w:tc>
          <w:tcPr>
            <w:tcW w:w="566" w:type="pct"/>
          </w:tcPr>
          <w:p w:rsidR="001E1ADA" w:rsidRPr="00D97B1C" w:rsidRDefault="001E1ADA" w:rsidP="001E1ADA">
            <w:r>
              <w:t>1</w:t>
            </w:r>
          </w:p>
        </w:tc>
        <w:tc>
          <w:tcPr>
            <w:tcW w:w="2547" w:type="pct"/>
          </w:tcPr>
          <w:p w:rsidR="001E1ADA" w:rsidRPr="00D97B1C" w:rsidRDefault="001E1ADA" w:rsidP="001E1ADA">
            <w:r>
              <w:t>Enter the girder serial #.</w:t>
            </w:r>
          </w:p>
        </w:tc>
        <w:tc>
          <w:tcPr>
            <w:tcW w:w="1887" w:type="pct"/>
          </w:tcPr>
          <w:p w:rsidR="001E1ADA" w:rsidRDefault="001E1ADA" w:rsidP="001E1ADA">
            <w:r>
              <w:t>[[Girder</w:t>
            </w:r>
            <w:r w:rsidR="00C5670C">
              <w:t>SN</w:t>
            </w:r>
            <w:r>
              <w:t>]] &lt;&lt;GirderSN&gt;&gt;</w:t>
            </w:r>
          </w:p>
          <w:p w:rsidR="001E1ADA" w:rsidRDefault="001E1ADA" w:rsidP="001E1ADA">
            <w:r>
              <w:t>[[InitialTech]] &lt;&lt;SRFCVP&gt;&gt;</w:t>
            </w:r>
          </w:p>
          <w:p w:rsidR="001E1ADA" w:rsidRDefault="001E1ADA" w:rsidP="001E1ADA">
            <w:r>
              <w:t>[[IntialDate]] &lt;&lt;</w:t>
            </w:r>
            <w:r w:rsidR="002A5EF7">
              <w:t>TIMESTAMP</w:t>
            </w:r>
            <w:r>
              <w:t>&gt;&gt;</w:t>
            </w:r>
          </w:p>
          <w:p w:rsidR="001E1ADA" w:rsidRDefault="00D874F8" w:rsidP="001E1ADA">
            <w:r>
              <w:t>[[InitialComment]] &lt;&lt;COMMENT&gt;&gt;</w:t>
            </w:r>
          </w:p>
          <w:p w:rsidR="001E1ADA" w:rsidRPr="00D97B1C" w:rsidRDefault="001E1ADA" w:rsidP="001E1ADA"/>
        </w:tc>
      </w:tr>
      <w:tr w:rsidR="001E1ADA" w:rsidTr="001E1ADA">
        <w:tc>
          <w:tcPr>
            <w:tcW w:w="566" w:type="pct"/>
          </w:tcPr>
          <w:p w:rsidR="001E1ADA" w:rsidRPr="00D97B1C" w:rsidRDefault="001E1ADA" w:rsidP="001E1ADA">
            <w:r>
              <w:t>2</w:t>
            </w:r>
          </w:p>
        </w:tc>
        <w:tc>
          <w:tcPr>
            <w:tcW w:w="2547" w:type="pct"/>
          </w:tcPr>
          <w:p w:rsidR="001E1ADA" w:rsidRPr="00D97B1C" w:rsidRDefault="001E1ADA" w:rsidP="001E1ADA">
            <w:r>
              <w:t>Record the girder style.</w:t>
            </w:r>
          </w:p>
        </w:tc>
        <w:tc>
          <w:tcPr>
            <w:tcW w:w="1887" w:type="pct"/>
          </w:tcPr>
          <w:p w:rsidR="001E1ADA" w:rsidRDefault="001E1ADA" w:rsidP="001E1ADA">
            <w:r>
              <w:t>[[GirderStyle]] &lt;&lt;</w:t>
            </w:r>
            <w:r w:rsidR="002A5EF7">
              <w:t>TEXT</w:t>
            </w:r>
            <w:r>
              <w:t>&gt;&gt;</w:t>
            </w:r>
          </w:p>
          <w:p w:rsidR="001E1ADA" w:rsidRPr="00D97B1C" w:rsidRDefault="001E1ADA" w:rsidP="001E1ADA"/>
        </w:tc>
      </w:tr>
    </w:tbl>
    <w:p w:rsidR="001E1ADA" w:rsidRDefault="001E1ADA" w:rsidP="00D97B1C"/>
    <w:p w:rsidR="001E1ADA" w:rsidRDefault="001E1ADA">
      <w:pPr>
        <w:spacing w:after="200" w:line="276" w:lineRule="auto"/>
      </w:pPr>
      <w:r>
        <w:br w:type="page"/>
      </w:r>
    </w:p>
    <w:tbl>
      <w:tblPr>
        <w:tblStyle w:val="TableGrid"/>
        <w:tblW w:w="5000" w:type="pct"/>
        <w:tblLook w:val="04A0" w:firstRow="1" w:lastRow="0" w:firstColumn="1" w:lastColumn="0" w:noHBand="0" w:noVBand="1"/>
      </w:tblPr>
      <w:tblGrid>
        <w:gridCol w:w="1466"/>
        <w:gridCol w:w="1769"/>
        <w:gridCol w:w="3238"/>
        <w:gridCol w:w="1590"/>
        <w:gridCol w:w="1647"/>
        <w:gridCol w:w="3240"/>
      </w:tblGrid>
      <w:tr w:rsidR="001E1ADA" w:rsidTr="001E1ADA">
        <w:tc>
          <w:tcPr>
            <w:tcW w:w="566" w:type="pct"/>
            <w:vAlign w:val="center"/>
          </w:tcPr>
          <w:p w:rsidR="001E1ADA" w:rsidRPr="001E1ADA" w:rsidRDefault="001E1ADA" w:rsidP="001E1ADA">
            <w:pPr>
              <w:jc w:val="center"/>
              <w:rPr>
                <w:rStyle w:val="Strong"/>
              </w:rPr>
            </w:pPr>
            <w:r>
              <w:rPr>
                <w:rStyle w:val="Strong"/>
              </w:rPr>
              <w:lastRenderedPageBreak/>
              <w:t>Step No</w:t>
            </w:r>
          </w:p>
        </w:tc>
        <w:tc>
          <w:tcPr>
            <w:tcW w:w="2547" w:type="pct"/>
            <w:gridSpan w:val="3"/>
            <w:vAlign w:val="center"/>
          </w:tcPr>
          <w:p w:rsidR="001E1ADA" w:rsidRPr="001E1ADA" w:rsidRDefault="001E1ADA" w:rsidP="001E1ADA">
            <w:pPr>
              <w:jc w:val="center"/>
              <w:rPr>
                <w:rStyle w:val="Strong"/>
              </w:rPr>
            </w:pPr>
            <w:r>
              <w:rPr>
                <w:rStyle w:val="Strong"/>
              </w:rPr>
              <w:t>Instructions</w:t>
            </w:r>
          </w:p>
        </w:tc>
        <w:tc>
          <w:tcPr>
            <w:tcW w:w="1887" w:type="pct"/>
            <w:gridSpan w:val="2"/>
            <w:vAlign w:val="center"/>
          </w:tcPr>
          <w:p w:rsidR="001E1ADA" w:rsidRPr="001E1ADA" w:rsidRDefault="001E1ADA" w:rsidP="001E1ADA">
            <w:pPr>
              <w:jc w:val="center"/>
              <w:rPr>
                <w:rStyle w:val="Strong"/>
              </w:rPr>
            </w:pPr>
            <w:r>
              <w:rPr>
                <w:rStyle w:val="Strong"/>
              </w:rPr>
              <w:t>Data Inputs</w:t>
            </w:r>
          </w:p>
        </w:tc>
      </w:tr>
      <w:tr w:rsidR="001E1ADA" w:rsidTr="001E1ADA">
        <w:tc>
          <w:tcPr>
            <w:tcW w:w="566" w:type="pct"/>
          </w:tcPr>
          <w:p w:rsidR="001E1ADA" w:rsidRDefault="001E1ADA" w:rsidP="001E1ADA">
            <w:r>
              <w:t>3</w:t>
            </w:r>
          </w:p>
        </w:tc>
        <w:tc>
          <w:tcPr>
            <w:tcW w:w="2547" w:type="pct"/>
            <w:gridSpan w:val="3"/>
          </w:tcPr>
          <w:p w:rsidR="00D61466" w:rsidRDefault="001E1ADA" w:rsidP="001E1ADA">
            <w:r>
              <w:t>Record the Standardized Serial Numbers of each component to be assembled on the girder being worked.  Print and record all existing component data on the Girder assembly drawing.  Any component that has been tagged as RAM shall be noted in the “Part RAM?” column.</w:t>
            </w:r>
          </w:p>
          <w:p w:rsidR="00D61466" w:rsidRDefault="001E1ADA" w:rsidP="001E1ADA">
            <w:r>
              <w:t>If a listed component is not required for the girder being worked, select No in the “Part Present</w:t>
            </w:r>
            <w:r w:rsidR="002A5EF7">
              <w:t>?</w:t>
            </w:r>
            <w:r>
              <w:t>” column and leave the “Standardized Serial Number” and “Part RAM?” columns blank.</w:t>
            </w:r>
          </w:p>
          <w:p w:rsidR="001E1ADA" w:rsidRDefault="001E1ADA" w:rsidP="001E1ADA">
            <w:r>
              <w:t>Record the time stamp for this step once all components for this girder have been identi</w:t>
            </w:r>
            <w:r w:rsidR="00D61466">
              <w:t>fied and are ready for assembly.</w:t>
            </w:r>
          </w:p>
          <w:p w:rsidR="00D61466" w:rsidRDefault="00D61466" w:rsidP="00D61466">
            <w:r>
              <w:t>Upload a scan of the girder assembly drawings and / or parts list.</w:t>
            </w:r>
          </w:p>
        </w:tc>
        <w:tc>
          <w:tcPr>
            <w:tcW w:w="1887" w:type="pct"/>
            <w:gridSpan w:val="2"/>
          </w:tcPr>
          <w:p w:rsidR="00111834" w:rsidRDefault="00111834" w:rsidP="001E1ADA">
            <w:r>
              <w:t>All components for this girder have been identified, are ready for assembly, and are present in the cleanroom area.</w:t>
            </w:r>
          </w:p>
          <w:p w:rsidR="001E1ADA" w:rsidRDefault="001E1ADA" w:rsidP="001E1ADA">
            <w:r>
              <w:t>[[ComponentsReadyTech]] &lt;&lt;SRFCVP&gt;&gt;</w:t>
            </w:r>
          </w:p>
          <w:p w:rsidR="001E1ADA" w:rsidRDefault="001E1ADA" w:rsidP="001E1ADA">
            <w:r>
              <w:t>[[ComponentsReadyDate]] &lt;&lt;</w:t>
            </w:r>
            <w:r w:rsidR="002A5EF7">
              <w:t>TIMESTAMP</w:t>
            </w:r>
            <w:r>
              <w:t>&gt;&gt;</w:t>
            </w:r>
          </w:p>
          <w:p w:rsidR="00D61466" w:rsidRDefault="00D61466" w:rsidP="001E1ADA">
            <w:r>
              <w:t>[[GirderDiagram]] &lt;&lt;FILEUPLOAD&gt;&gt;</w:t>
            </w:r>
          </w:p>
          <w:p w:rsidR="00D61466" w:rsidRDefault="00D61466" w:rsidP="001E1ADA">
            <w:r>
              <w:t>[[PartsList]] &lt;&lt;FILEUPLOAD&gt;&gt;</w:t>
            </w:r>
          </w:p>
          <w:p w:rsidR="001E1ADA" w:rsidRDefault="00D61466" w:rsidP="001E1ADA">
            <w:r>
              <w:t>[[Compo</w:t>
            </w:r>
            <w:r w:rsidR="00D874F8">
              <w:t>nentsReadyComment]] &lt;&lt;COMMENT&gt;&gt;</w:t>
            </w:r>
          </w:p>
          <w:p w:rsidR="001E1ADA" w:rsidRDefault="001E1ADA" w:rsidP="001E1ADA"/>
        </w:tc>
      </w:tr>
      <w:tr w:rsidR="002A5EF7" w:rsidTr="002A5EF7">
        <w:trPr>
          <w:trHeight w:val="27"/>
        </w:trPr>
        <w:tc>
          <w:tcPr>
            <w:tcW w:w="1249" w:type="pct"/>
            <w:gridSpan w:val="2"/>
          </w:tcPr>
          <w:p w:rsidR="002A5EF7" w:rsidRPr="002A5EF7" w:rsidRDefault="002A5EF7" w:rsidP="002A5EF7">
            <w:pPr>
              <w:jc w:val="center"/>
              <w:rPr>
                <w:b/>
              </w:rPr>
            </w:pPr>
            <w:r w:rsidRPr="002A5EF7">
              <w:rPr>
                <w:b/>
              </w:rPr>
              <w:t>Part</w:t>
            </w:r>
          </w:p>
        </w:tc>
        <w:tc>
          <w:tcPr>
            <w:tcW w:w="1250" w:type="pct"/>
          </w:tcPr>
          <w:p w:rsidR="002A5EF7" w:rsidRPr="002A5EF7" w:rsidRDefault="002A5EF7" w:rsidP="002A5EF7">
            <w:pPr>
              <w:jc w:val="center"/>
              <w:rPr>
                <w:b/>
              </w:rPr>
            </w:pPr>
            <w:r w:rsidRPr="002A5EF7">
              <w:rPr>
                <w:b/>
              </w:rPr>
              <w:t>Standardized Serial Number</w:t>
            </w:r>
          </w:p>
        </w:tc>
        <w:tc>
          <w:tcPr>
            <w:tcW w:w="1250" w:type="pct"/>
            <w:gridSpan w:val="2"/>
          </w:tcPr>
          <w:p w:rsidR="002A5EF7" w:rsidRPr="002A5EF7" w:rsidRDefault="002A5EF7" w:rsidP="002A5EF7">
            <w:pPr>
              <w:jc w:val="center"/>
              <w:rPr>
                <w:b/>
              </w:rPr>
            </w:pPr>
            <w:r w:rsidRPr="002A5EF7">
              <w:rPr>
                <w:b/>
              </w:rPr>
              <w:t>Part RAM?</w:t>
            </w:r>
          </w:p>
        </w:tc>
        <w:tc>
          <w:tcPr>
            <w:tcW w:w="1251" w:type="pct"/>
          </w:tcPr>
          <w:p w:rsidR="002A5EF7" w:rsidRPr="002A5EF7" w:rsidRDefault="002A5EF7" w:rsidP="002A5EF7">
            <w:pPr>
              <w:jc w:val="center"/>
              <w:rPr>
                <w:b/>
              </w:rPr>
            </w:pPr>
            <w:r w:rsidRPr="002A5EF7">
              <w:rPr>
                <w:b/>
              </w:rPr>
              <w:t>Part Present?</w:t>
            </w:r>
          </w:p>
        </w:tc>
      </w:tr>
      <w:tr w:rsidR="002A5EF7" w:rsidTr="002A5EF7">
        <w:trPr>
          <w:trHeight w:val="22"/>
        </w:trPr>
        <w:tc>
          <w:tcPr>
            <w:tcW w:w="1249" w:type="pct"/>
            <w:gridSpan w:val="2"/>
          </w:tcPr>
          <w:p w:rsidR="002A5EF7" w:rsidRPr="00505F85" w:rsidRDefault="002A5EF7" w:rsidP="002A5EF7">
            <w:pPr>
              <w:rPr>
                <w:szCs w:val="22"/>
              </w:rPr>
            </w:pPr>
            <w:r>
              <w:rPr>
                <w:szCs w:val="22"/>
              </w:rPr>
              <w:t>Pump drop</w:t>
            </w:r>
          </w:p>
        </w:tc>
        <w:tc>
          <w:tcPr>
            <w:tcW w:w="1250" w:type="pct"/>
          </w:tcPr>
          <w:p w:rsidR="002A5EF7" w:rsidRPr="00505F85" w:rsidRDefault="002A5EF7" w:rsidP="002A5EF7">
            <w:pPr>
              <w:rPr>
                <w:szCs w:val="22"/>
              </w:rPr>
            </w:pPr>
            <w:r w:rsidRPr="00505F85">
              <w:rPr>
                <w:szCs w:val="22"/>
              </w:rPr>
              <w:t>[[</w:t>
            </w:r>
            <w:r>
              <w:rPr>
                <w:szCs w:val="22"/>
              </w:rPr>
              <w:t>PumpDropSN</w:t>
            </w:r>
            <w:r w:rsidRPr="00505F85">
              <w:rPr>
                <w:szCs w:val="22"/>
              </w:rPr>
              <w:t>]] &lt;&lt;</w:t>
            </w:r>
            <w:r>
              <w:rPr>
                <w:szCs w:val="22"/>
              </w:rPr>
              <w:t>PMPDRP</w:t>
            </w:r>
            <w:r w:rsidRPr="00505F85">
              <w:rPr>
                <w:szCs w:val="22"/>
              </w:rPr>
              <w:t>SN&gt;&gt;</w:t>
            </w:r>
          </w:p>
        </w:tc>
        <w:tc>
          <w:tcPr>
            <w:tcW w:w="1250" w:type="pct"/>
            <w:gridSpan w:val="2"/>
          </w:tcPr>
          <w:p w:rsidR="002A5EF7" w:rsidRPr="00505F85" w:rsidRDefault="002A5EF7" w:rsidP="002A5EF7">
            <w:pPr>
              <w:rPr>
                <w:szCs w:val="22"/>
              </w:rPr>
            </w:pPr>
            <w:r>
              <w:rPr>
                <w:szCs w:val="22"/>
              </w:rPr>
              <w:t>[[PumpDropRAM]] &lt;&lt;YESNO&gt;&gt;</w:t>
            </w:r>
          </w:p>
        </w:tc>
        <w:tc>
          <w:tcPr>
            <w:tcW w:w="1251" w:type="pct"/>
          </w:tcPr>
          <w:p w:rsidR="002A5EF7" w:rsidRDefault="002A5EF7" w:rsidP="002A5EF7">
            <w:pPr>
              <w:rPr>
                <w:szCs w:val="22"/>
              </w:rPr>
            </w:pPr>
            <w:r>
              <w:rPr>
                <w:szCs w:val="22"/>
              </w:rPr>
              <w:t>[[PumpDropPresent]] &lt;&lt;YESNO&gt;&gt;</w:t>
            </w:r>
          </w:p>
          <w:p w:rsidR="002A5EF7" w:rsidRDefault="002A5EF7" w:rsidP="002A5EF7">
            <w:pPr>
              <w:rPr>
                <w:szCs w:val="22"/>
              </w:rPr>
            </w:pPr>
          </w:p>
        </w:tc>
      </w:tr>
      <w:tr w:rsidR="002A5EF7" w:rsidTr="002A5EF7">
        <w:trPr>
          <w:trHeight w:val="22"/>
        </w:trPr>
        <w:tc>
          <w:tcPr>
            <w:tcW w:w="1249" w:type="pct"/>
            <w:gridSpan w:val="2"/>
          </w:tcPr>
          <w:p w:rsidR="002A5EF7" w:rsidRPr="00505F85" w:rsidRDefault="002A5EF7" w:rsidP="002A5EF7">
            <w:pPr>
              <w:rPr>
                <w:szCs w:val="22"/>
              </w:rPr>
            </w:pPr>
            <w:r>
              <w:rPr>
                <w:szCs w:val="22"/>
              </w:rPr>
              <w:t>BPM chamber</w:t>
            </w:r>
          </w:p>
        </w:tc>
        <w:tc>
          <w:tcPr>
            <w:tcW w:w="1250" w:type="pct"/>
          </w:tcPr>
          <w:p w:rsidR="002A5EF7" w:rsidRPr="00505F85" w:rsidRDefault="002A5EF7" w:rsidP="002A5EF7">
            <w:pPr>
              <w:rPr>
                <w:szCs w:val="22"/>
              </w:rPr>
            </w:pPr>
            <w:r w:rsidRPr="00505F85">
              <w:rPr>
                <w:szCs w:val="22"/>
              </w:rPr>
              <w:t>[[</w:t>
            </w:r>
            <w:r>
              <w:rPr>
                <w:szCs w:val="22"/>
              </w:rPr>
              <w:t>BPMSN</w:t>
            </w:r>
            <w:r w:rsidRPr="00505F85">
              <w:rPr>
                <w:szCs w:val="22"/>
              </w:rPr>
              <w:t>]] &lt;&lt;</w:t>
            </w:r>
            <w:r>
              <w:rPr>
                <w:szCs w:val="22"/>
              </w:rPr>
              <w:t>BPM</w:t>
            </w:r>
            <w:r w:rsidRPr="00505F85">
              <w:rPr>
                <w:szCs w:val="22"/>
              </w:rPr>
              <w:t>SN&gt;&gt;</w:t>
            </w:r>
          </w:p>
        </w:tc>
        <w:tc>
          <w:tcPr>
            <w:tcW w:w="1250" w:type="pct"/>
            <w:gridSpan w:val="2"/>
          </w:tcPr>
          <w:p w:rsidR="002A5EF7" w:rsidRPr="00505F85" w:rsidRDefault="002A5EF7" w:rsidP="002A5EF7">
            <w:pPr>
              <w:rPr>
                <w:szCs w:val="22"/>
              </w:rPr>
            </w:pPr>
            <w:r>
              <w:rPr>
                <w:szCs w:val="22"/>
              </w:rPr>
              <w:t>[[BPMRAM]] &lt;&lt;YESNO&gt;&gt;</w:t>
            </w:r>
          </w:p>
        </w:tc>
        <w:tc>
          <w:tcPr>
            <w:tcW w:w="1251" w:type="pct"/>
          </w:tcPr>
          <w:p w:rsidR="002A5EF7" w:rsidRDefault="002A5EF7" w:rsidP="002A5EF7">
            <w:pPr>
              <w:rPr>
                <w:szCs w:val="22"/>
              </w:rPr>
            </w:pPr>
            <w:r>
              <w:rPr>
                <w:szCs w:val="22"/>
              </w:rPr>
              <w:t>[[BPMPresent]] &lt;&lt;YESNO&gt;&gt;</w:t>
            </w:r>
          </w:p>
          <w:p w:rsidR="002A5EF7" w:rsidRDefault="002A5EF7" w:rsidP="002A5EF7">
            <w:pPr>
              <w:rPr>
                <w:szCs w:val="22"/>
              </w:rPr>
            </w:pPr>
          </w:p>
        </w:tc>
      </w:tr>
      <w:tr w:rsidR="002A5EF7" w:rsidTr="002A5EF7">
        <w:trPr>
          <w:trHeight w:val="22"/>
        </w:trPr>
        <w:tc>
          <w:tcPr>
            <w:tcW w:w="1249" w:type="pct"/>
            <w:gridSpan w:val="2"/>
          </w:tcPr>
          <w:p w:rsidR="002A5EF7" w:rsidRPr="00505F85" w:rsidRDefault="002A5EF7" w:rsidP="002A5EF7">
            <w:pPr>
              <w:rPr>
                <w:szCs w:val="22"/>
              </w:rPr>
            </w:pPr>
            <w:r>
              <w:rPr>
                <w:szCs w:val="22"/>
              </w:rPr>
              <w:t>Ion Pump</w:t>
            </w:r>
          </w:p>
        </w:tc>
        <w:tc>
          <w:tcPr>
            <w:tcW w:w="1250" w:type="pct"/>
          </w:tcPr>
          <w:p w:rsidR="002A5EF7" w:rsidRPr="00505F85" w:rsidRDefault="002A5EF7" w:rsidP="002A5EF7">
            <w:pPr>
              <w:rPr>
                <w:szCs w:val="22"/>
              </w:rPr>
            </w:pPr>
            <w:r>
              <w:rPr>
                <w:szCs w:val="22"/>
              </w:rPr>
              <w:t>[[IonPumpSN]] &lt;&lt;IONPMPSN&gt;&gt;</w:t>
            </w:r>
          </w:p>
        </w:tc>
        <w:tc>
          <w:tcPr>
            <w:tcW w:w="1250" w:type="pct"/>
            <w:gridSpan w:val="2"/>
          </w:tcPr>
          <w:p w:rsidR="002A5EF7" w:rsidRDefault="002A5EF7" w:rsidP="002A5EF7">
            <w:pPr>
              <w:rPr>
                <w:szCs w:val="22"/>
              </w:rPr>
            </w:pPr>
            <w:r>
              <w:rPr>
                <w:szCs w:val="22"/>
              </w:rPr>
              <w:t>[[IonPumpRAM]] &lt;&lt;YESNO&gt;&gt;</w:t>
            </w:r>
          </w:p>
        </w:tc>
        <w:tc>
          <w:tcPr>
            <w:tcW w:w="1251" w:type="pct"/>
          </w:tcPr>
          <w:p w:rsidR="002A5EF7" w:rsidRDefault="002A5EF7" w:rsidP="002A5EF7">
            <w:pPr>
              <w:rPr>
                <w:szCs w:val="22"/>
              </w:rPr>
            </w:pPr>
            <w:r>
              <w:rPr>
                <w:szCs w:val="22"/>
              </w:rPr>
              <w:t>[IonPumpPresent]] &lt;&lt;YESNO&gt;&gt;</w:t>
            </w:r>
          </w:p>
          <w:p w:rsidR="002A5EF7" w:rsidRDefault="002A5EF7" w:rsidP="002A5EF7">
            <w:pPr>
              <w:rPr>
                <w:szCs w:val="22"/>
              </w:rPr>
            </w:pPr>
          </w:p>
        </w:tc>
      </w:tr>
      <w:tr w:rsidR="002A5EF7" w:rsidTr="002A5EF7">
        <w:trPr>
          <w:trHeight w:val="22"/>
        </w:trPr>
        <w:tc>
          <w:tcPr>
            <w:tcW w:w="1249" w:type="pct"/>
            <w:gridSpan w:val="2"/>
          </w:tcPr>
          <w:p w:rsidR="002A5EF7" w:rsidRPr="00505F85" w:rsidRDefault="002A5EF7" w:rsidP="002A5EF7">
            <w:pPr>
              <w:rPr>
                <w:szCs w:val="22"/>
              </w:rPr>
            </w:pPr>
            <w:r>
              <w:rPr>
                <w:szCs w:val="22"/>
              </w:rPr>
              <w:t>Gate valve</w:t>
            </w:r>
          </w:p>
        </w:tc>
        <w:tc>
          <w:tcPr>
            <w:tcW w:w="1250" w:type="pct"/>
          </w:tcPr>
          <w:p w:rsidR="002A5EF7" w:rsidRPr="00505F85" w:rsidRDefault="002A5EF7" w:rsidP="002A5EF7">
            <w:pPr>
              <w:rPr>
                <w:szCs w:val="22"/>
              </w:rPr>
            </w:pPr>
            <w:r>
              <w:rPr>
                <w:szCs w:val="22"/>
              </w:rPr>
              <w:t>[[GateValveSN]] &lt;&lt;GateValveSN&gt;&gt;</w:t>
            </w:r>
          </w:p>
        </w:tc>
        <w:tc>
          <w:tcPr>
            <w:tcW w:w="1250" w:type="pct"/>
            <w:gridSpan w:val="2"/>
          </w:tcPr>
          <w:p w:rsidR="002A5EF7" w:rsidRDefault="002A5EF7" w:rsidP="002A5EF7">
            <w:pPr>
              <w:rPr>
                <w:szCs w:val="22"/>
              </w:rPr>
            </w:pPr>
            <w:r>
              <w:rPr>
                <w:szCs w:val="22"/>
              </w:rPr>
              <w:t>[[GateValveRAM]] &lt;&lt;YESNO&gt;&gt;</w:t>
            </w:r>
          </w:p>
        </w:tc>
        <w:tc>
          <w:tcPr>
            <w:tcW w:w="1251" w:type="pct"/>
          </w:tcPr>
          <w:p w:rsidR="002A5EF7" w:rsidRDefault="002A5EF7" w:rsidP="002A5EF7">
            <w:pPr>
              <w:rPr>
                <w:szCs w:val="22"/>
              </w:rPr>
            </w:pPr>
            <w:r>
              <w:rPr>
                <w:szCs w:val="22"/>
              </w:rPr>
              <w:t>[[GateValvePresent]] &lt;&lt;YESNO&gt;&gt;</w:t>
            </w:r>
          </w:p>
        </w:tc>
      </w:tr>
      <w:tr w:rsidR="002A5EF7" w:rsidTr="002A5EF7">
        <w:trPr>
          <w:trHeight w:val="22"/>
        </w:trPr>
        <w:tc>
          <w:tcPr>
            <w:tcW w:w="1249" w:type="pct"/>
            <w:gridSpan w:val="2"/>
          </w:tcPr>
          <w:p w:rsidR="002A5EF7" w:rsidRPr="00505F85" w:rsidRDefault="002A5EF7" w:rsidP="002A5EF7">
            <w:pPr>
              <w:rPr>
                <w:szCs w:val="22"/>
              </w:rPr>
            </w:pPr>
            <w:r>
              <w:rPr>
                <w:szCs w:val="22"/>
              </w:rPr>
              <w:t>Gauge on double sided 2.75” CF</w:t>
            </w:r>
          </w:p>
        </w:tc>
        <w:tc>
          <w:tcPr>
            <w:tcW w:w="1250" w:type="pct"/>
          </w:tcPr>
          <w:p w:rsidR="002A5EF7" w:rsidRPr="00505F85" w:rsidRDefault="002A5EF7" w:rsidP="002A5EF7">
            <w:pPr>
              <w:rPr>
                <w:szCs w:val="22"/>
              </w:rPr>
            </w:pPr>
            <w:r w:rsidRPr="00505F85">
              <w:rPr>
                <w:szCs w:val="22"/>
              </w:rPr>
              <w:t>[[</w:t>
            </w:r>
            <w:r>
              <w:rPr>
                <w:szCs w:val="22"/>
              </w:rPr>
              <w:t>Gauge</w:t>
            </w:r>
            <w:r w:rsidRPr="00505F85">
              <w:rPr>
                <w:szCs w:val="22"/>
              </w:rPr>
              <w:t>]] &lt;&lt;</w:t>
            </w:r>
            <w:r>
              <w:rPr>
                <w:szCs w:val="22"/>
              </w:rPr>
              <w:t>GAUGE</w:t>
            </w:r>
            <w:r w:rsidRPr="00505F85">
              <w:rPr>
                <w:szCs w:val="22"/>
              </w:rPr>
              <w:t>SN&gt;&gt;</w:t>
            </w:r>
          </w:p>
        </w:tc>
        <w:tc>
          <w:tcPr>
            <w:tcW w:w="1250" w:type="pct"/>
            <w:gridSpan w:val="2"/>
          </w:tcPr>
          <w:p w:rsidR="002A5EF7" w:rsidRPr="00505F85" w:rsidRDefault="002A5EF7" w:rsidP="002A5EF7">
            <w:pPr>
              <w:rPr>
                <w:szCs w:val="22"/>
              </w:rPr>
            </w:pPr>
            <w:r>
              <w:rPr>
                <w:szCs w:val="22"/>
              </w:rPr>
              <w:t>[[GaugeRAM]] &lt;&lt;YESNO&gt;&gt;</w:t>
            </w:r>
          </w:p>
        </w:tc>
        <w:tc>
          <w:tcPr>
            <w:tcW w:w="1251" w:type="pct"/>
          </w:tcPr>
          <w:p w:rsidR="002A5EF7" w:rsidRPr="00505F85" w:rsidRDefault="002A5EF7" w:rsidP="002A5EF7">
            <w:pPr>
              <w:rPr>
                <w:szCs w:val="22"/>
              </w:rPr>
            </w:pPr>
            <w:r>
              <w:rPr>
                <w:szCs w:val="22"/>
              </w:rPr>
              <w:t>[[GaugePresent]] &lt;&lt;YESNO&gt;&gt;</w:t>
            </w:r>
          </w:p>
        </w:tc>
      </w:tr>
      <w:tr w:rsidR="002A5EF7" w:rsidTr="002A5EF7">
        <w:trPr>
          <w:trHeight w:val="22"/>
        </w:trPr>
        <w:tc>
          <w:tcPr>
            <w:tcW w:w="1249" w:type="pct"/>
            <w:gridSpan w:val="2"/>
          </w:tcPr>
          <w:p w:rsidR="002A5EF7" w:rsidRPr="00505F85" w:rsidRDefault="002A5EF7" w:rsidP="002A5EF7">
            <w:pPr>
              <w:rPr>
                <w:szCs w:val="22"/>
              </w:rPr>
            </w:pPr>
            <w:r>
              <w:rPr>
                <w:szCs w:val="22"/>
              </w:rPr>
              <w:t>90 angle all-metal valve (AMUV)</w:t>
            </w:r>
          </w:p>
        </w:tc>
        <w:tc>
          <w:tcPr>
            <w:tcW w:w="1250" w:type="pct"/>
          </w:tcPr>
          <w:p w:rsidR="002A5EF7" w:rsidRPr="00505F85" w:rsidRDefault="002A5EF7" w:rsidP="002A5EF7">
            <w:pPr>
              <w:rPr>
                <w:szCs w:val="22"/>
              </w:rPr>
            </w:pPr>
            <w:r w:rsidRPr="00505F85">
              <w:rPr>
                <w:szCs w:val="22"/>
              </w:rPr>
              <w:t>[[</w:t>
            </w:r>
            <w:r>
              <w:rPr>
                <w:szCs w:val="22"/>
              </w:rPr>
              <w:t>AMUV</w:t>
            </w:r>
            <w:r w:rsidRPr="00505F85">
              <w:rPr>
                <w:szCs w:val="22"/>
              </w:rPr>
              <w:t xml:space="preserve"> ]] &lt;&lt;</w:t>
            </w:r>
            <w:r>
              <w:rPr>
                <w:szCs w:val="22"/>
              </w:rPr>
              <w:t>AMUV</w:t>
            </w:r>
            <w:r w:rsidRPr="00505F85">
              <w:rPr>
                <w:szCs w:val="22"/>
              </w:rPr>
              <w:t>SN&gt;&gt;</w:t>
            </w:r>
          </w:p>
        </w:tc>
        <w:tc>
          <w:tcPr>
            <w:tcW w:w="1250" w:type="pct"/>
            <w:gridSpan w:val="2"/>
          </w:tcPr>
          <w:p w:rsidR="002A5EF7" w:rsidRPr="00505F85" w:rsidRDefault="002A5EF7" w:rsidP="002A5EF7">
            <w:pPr>
              <w:rPr>
                <w:szCs w:val="22"/>
              </w:rPr>
            </w:pPr>
            <w:r>
              <w:rPr>
                <w:szCs w:val="22"/>
              </w:rPr>
              <w:t>[[AMUVRAM]] &lt;&lt;YESNO&gt;&gt;</w:t>
            </w:r>
          </w:p>
        </w:tc>
        <w:tc>
          <w:tcPr>
            <w:tcW w:w="1251" w:type="pct"/>
          </w:tcPr>
          <w:p w:rsidR="002A5EF7" w:rsidRPr="00505F85" w:rsidRDefault="002A5EF7" w:rsidP="002A5EF7">
            <w:pPr>
              <w:rPr>
                <w:szCs w:val="22"/>
              </w:rPr>
            </w:pPr>
            <w:r>
              <w:rPr>
                <w:szCs w:val="22"/>
              </w:rPr>
              <w:t>[[AMUVPresent]] &lt;&lt;YESNO&gt;&gt;</w:t>
            </w:r>
          </w:p>
        </w:tc>
      </w:tr>
      <w:tr w:rsidR="002A5EF7" w:rsidTr="002A5EF7">
        <w:trPr>
          <w:trHeight w:val="22"/>
        </w:trPr>
        <w:tc>
          <w:tcPr>
            <w:tcW w:w="1249" w:type="pct"/>
            <w:gridSpan w:val="2"/>
          </w:tcPr>
          <w:p w:rsidR="002A5EF7" w:rsidRPr="00505F85" w:rsidRDefault="002A5EF7" w:rsidP="002A5EF7">
            <w:pPr>
              <w:rPr>
                <w:szCs w:val="22"/>
              </w:rPr>
            </w:pPr>
            <w:r>
              <w:rPr>
                <w:szCs w:val="22"/>
              </w:rPr>
              <w:t xml:space="preserve">Beam Viewer assembly </w:t>
            </w:r>
          </w:p>
        </w:tc>
        <w:tc>
          <w:tcPr>
            <w:tcW w:w="1250" w:type="pct"/>
          </w:tcPr>
          <w:p w:rsidR="002A5EF7" w:rsidRPr="00505F85" w:rsidRDefault="002A5EF7" w:rsidP="002A5EF7">
            <w:pPr>
              <w:rPr>
                <w:szCs w:val="22"/>
              </w:rPr>
            </w:pPr>
            <w:r w:rsidRPr="00505F85">
              <w:rPr>
                <w:szCs w:val="22"/>
              </w:rPr>
              <w:t>[[</w:t>
            </w:r>
            <w:r>
              <w:rPr>
                <w:szCs w:val="22"/>
              </w:rPr>
              <w:t>BeamViewerSN]</w:t>
            </w:r>
            <w:r w:rsidRPr="00505F85">
              <w:rPr>
                <w:szCs w:val="22"/>
              </w:rPr>
              <w:t>] &lt;&lt;</w:t>
            </w:r>
            <w:r>
              <w:rPr>
                <w:szCs w:val="22"/>
              </w:rPr>
              <w:t>BeamViewer</w:t>
            </w:r>
            <w:r w:rsidRPr="00505F85">
              <w:rPr>
                <w:szCs w:val="22"/>
              </w:rPr>
              <w:t>SN&gt;&gt;</w:t>
            </w:r>
          </w:p>
        </w:tc>
        <w:tc>
          <w:tcPr>
            <w:tcW w:w="1250" w:type="pct"/>
            <w:gridSpan w:val="2"/>
          </w:tcPr>
          <w:p w:rsidR="002A5EF7" w:rsidRPr="00505F85" w:rsidRDefault="002A5EF7" w:rsidP="002A5EF7">
            <w:pPr>
              <w:rPr>
                <w:szCs w:val="22"/>
              </w:rPr>
            </w:pPr>
            <w:r>
              <w:rPr>
                <w:szCs w:val="22"/>
              </w:rPr>
              <w:t>[[BeamViewerRAM]] &lt;&lt;YESNO&gt;&gt;</w:t>
            </w:r>
          </w:p>
        </w:tc>
        <w:tc>
          <w:tcPr>
            <w:tcW w:w="1251" w:type="pct"/>
          </w:tcPr>
          <w:p w:rsidR="002A5EF7" w:rsidRDefault="002A5EF7" w:rsidP="002A5EF7">
            <w:pPr>
              <w:rPr>
                <w:szCs w:val="22"/>
              </w:rPr>
            </w:pPr>
            <w:r>
              <w:rPr>
                <w:szCs w:val="22"/>
              </w:rPr>
              <w:t>[[BeamViewerPresent]] &lt;&lt;YESNO&gt;&gt;</w:t>
            </w:r>
          </w:p>
        </w:tc>
      </w:tr>
      <w:tr w:rsidR="002A5EF7" w:rsidTr="002A5EF7">
        <w:trPr>
          <w:trHeight w:val="22"/>
        </w:trPr>
        <w:tc>
          <w:tcPr>
            <w:tcW w:w="1249" w:type="pct"/>
            <w:gridSpan w:val="2"/>
          </w:tcPr>
          <w:p w:rsidR="002A5EF7" w:rsidRPr="002A5EF7" w:rsidRDefault="002A5EF7" w:rsidP="002A5EF7">
            <w:pPr>
              <w:rPr>
                <w:szCs w:val="22"/>
              </w:rPr>
            </w:pPr>
            <w:r w:rsidRPr="002A5EF7">
              <w:rPr>
                <w:szCs w:val="22"/>
              </w:rPr>
              <w:t>QD beamtube assembly A</w:t>
            </w:r>
          </w:p>
        </w:tc>
        <w:tc>
          <w:tcPr>
            <w:tcW w:w="1250" w:type="pct"/>
          </w:tcPr>
          <w:p w:rsidR="002A5EF7" w:rsidRPr="00505F85" w:rsidRDefault="002A5EF7" w:rsidP="002A5EF7">
            <w:pPr>
              <w:rPr>
                <w:szCs w:val="22"/>
              </w:rPr>
            </w:pPr>
            <w:r w:rsidRPr="00505F85">
              <w:rPr>
                <w:szCs w:val="22"/>
              </w:rPr>
              <w:t>[[</w:t>
            </w:r>
            <w:r>
              <w:rPr>
                <w:szCs w:val="22"/>
              </w:rPr>
              <w:t>QDASN</w:t>
            </w:r>
            <w:r w:rsidRPr="00505F85">
              <w:rPr>
                <w:szCs w:val="22"/>
              </w:rPr>
              <w:t>]] &lt;&lt;</w:t>
            </w:r>
            <w:r>
              <w:rPr>
                <w:szCs w:val="22"/>
              </w:rPr>
              <w:t>QDA</w:t>
            </w:r>
            <w:r w:rsidRPr="00505F85">
              <w:rPr>
                <w:szCs w:val="22"/>
              </w:rPr>
              <w:t>SN&gt;&gt;</w:t>
            </w:r>
          </w:p>
        </w:tc>
        <w:tc>
          <w:tcPr>
            <w:tcW w:w="1250" w:type="pct"/>
            <w:gridSpan w:val="2"/>
          </w:tcPr>
          <w:p w:rsidR="002A5EF7" w:rsidRPr="00505F85" w:rsidRDefault="002A5EF7" w:rsidP="002A5EF7">
            <w:pPr>
              <w:rPr>
                <w:szCs w:val="22"/>
              </w:rPr>
            </w:pPr>
            <w:r>
              <w:rPr>
                <w:szCs w:val="22"/>
              </w:rPr>
              <w:t>[[QDARAM]] &lt;&lt;YESNO&gt;&gt;</w:t>
            </w:r>
          </w:p>
        </w:tc>
        <w:tc>
          <w:tcPr>
            <w:tcW w:w="1251" w:type="pct"/>
          </w:tcPr>
          <w:p w:rsidR="002A5EF7" w:rsidRDefault="002A5EF7" w:rsidP="002A5EF7">
            <w:pPr>
              <w:rPr>
                <w:szCs w:val="22"/>
              </w:rPr>
            </w:pPr>
            <w:r>
              <w:rPr>
                <w:szCs w:val="22"/>
              </w:rPr>
              <w:t>[[QDAPresent]] &lt;&lt;YESNO&gt;&gt;</w:t>
            </w:r>
          </w:p>
        </w:tc>
      </w:tr>
      <w:tr w:rsidR="002A5EF7" w:rsidTr="002A5EF7">
        <w:trPr>
          <w:trHeight w:val="22"/>
        </w:trPr>
        <w:tc>
          <w:tcPr>
            <w:tcW w:w="1249" w:type="pct"/>
            <w:gridSpan w:val="2"/>
          </w:tcPr>
          <w:p w:rsidR="002A5EF7" w:rsidRPr="002A5EF7" w:rsidRDefault="002A5EF7" w:rsidP="002A5EF7">
            <w:pPr>
              <w:rPr>
                <w:szCs w:val="22"/>
              </w:rPr>
            </w:pPr>
            <w:r w:rsidRPr="002A5EF7">
              <w:rPr>
                <w:szCs w:val="22"/>
              </w:rPr>
              <w:t>QD beamtube assembly B</w:t>
            </w:r>
          </w:p>
        </w:tc>
        <w:tc>
          <w:tcPr>
            <w:tcW w:w="1250" w:type="pct"/>
          </w:tcPr>
          <w:p w:rsidR="002A5EF7" w:rsidRPr="00505F85" w:rsidRDefault="002A5EF7" w:rsidP="002A5EF7">
            <w:pPr>
              <w:ind w:left="200" w:hanging="200"/>
              <w:rPr>
                <w:szCs w:val="22"/>
              </w:rPr>
            </w:pPr>
            <w:r w:rsidRPr="00505F85">
              <w:rPr>
                <w:szCs w:val="22"/>
              </w:rPr>
              <w:t>[[</w:t>
            </w:r>
            <w:r>
              <w:rPr>
                <w:szCs w:val="22"/>
              </w:rPr>
              <w:t>QDBSN]] &lt;&lt;QDB</w:t>
            </w:r>
            <w:r w:rsidRPr="00505F85">
              <w:rPr>
                <w:szCs w:val="22"/>
              </w:rPr>
              <w:t>SN&gt;&gt;</w:t>
            </w:r>
          </w:p>
        </w:tc>
        <w:tc>
          <w:tcPr>
            <w:tcW w:w="1250" w:type="pct"/>
            <w:gridSpan w:val="2"/>
          </w:tcPr>
          <w:p w:rsidR="002A5EF7" w:rsidRPr="00505F85" w:rsidRDefault="002A5EF7" w:rsidP="002A5EF7">
            <w:pPr>
              <w:rPr>
                <w:szCs w:val="22"/>
              </w:rPr>
            </w:pPr>
            <w:r>
              <w:rPr>
                <w:szCs w:val="22"/>
              </w:rPr>
              <w:t>[[QDBRAM]] &lt;&lt;YESNO&gt;&gt;</w:t>
            </w:r>
          </w:p>
        </w:tc>
        <w:tc>
          <w:tcPr>
            <w:tcW w:w="1251" w:type="pct"/>
          </w:tcPr>
          <w:p w:rsidR="002A5EF7" w:rsidRDefault="002A5EF7" w:rsidP="00D61466">
            <w:pPr>
              <w:rPr>
                <w:szCs w:val="22"/>
              </w:rPr>
            </w:pPr>
            <w:r>
              <w:rPr>
                <w:szCs w:val="22"/>
              </w:rPr>
              <w:t>[[QDB</w:t>
            </w:r>
            <w:r w:rsidR="00D61466">
              <w:rPr>
                <w:szCs w:val="22"/>
              </w:rPr>
              <w:t>Present</w:t>
            </w:r>
            <w:r>
              <w:rPr>
                <w:szCs w:val="22"/>
              </w:rPr>
              <w:t>]] &lt;&lt;YESNO&gt;&gt;</w:t>
            </w:r>
          </w:p>
        </w:tc>
      </w:tr>
      <w:tr w:rsidR="00584369" w:rsidTr="002A5EF7">
        <w:trPr>
          <w:trHeight w:val="22"/>
        </w:trPr>
        <w:tc>
          <w:tcPr>
            <w:tcW w:w="1249" w:type="pct"/>
            <w:gridSpan w:val="2"/>
          </w:tcPr>
          <w:p w:rsidR="00584369" w:rsidRPr="00505F85" w:rsidRDefault="00584369" w:rsidP="00584369">
            <w:pPr>
              <w:rPr>
                <w:szCs w:val="22"/>
              </w:rPr>
            </w:pPr>
            <w:r>
              <w:rPr>
                <w:szCs w:val="22"/>
              </w:rPr>
              <w:t>2.75” CF A</w:t>
            </w:r>
          </w:p>
        </w:tc>
        <w:tc>
          <w:tcPr>
            <w:tcW w:w="1250" w:type="pct"/>
          </w:tcPr>
          <w:p w:rsidR="00584369" w:rsidRPr="00505F85" w:rsidRDefault="00D61466" w:rsidP="00584369">
            <w:pPr>
              <w:ind w:left="200" w:hanging="200"/>
              <w:rPr>
                <w:szCs w:val="22"/>
              </w:rPr>
            </w:pPr>
            <w:r>
              <w:rPr>
                <w:szCs w:val="22"/>
              </w:rPr>
              <w:t>[[CFASN]] &lt;&lt;CFASN&gt;&gt;</w:t>
            </w:r>
          </w:p>
        </w:tc>
        <w:tc>
          <w:tcPr>
            <w:tcW w:w="1250" w:type="pct"/>
            <w:gridSpan w:val="2"/>
          </w:tcPr>
          <w:p w:rsidR="00584369" w:rsidRDefault="00D61466" w:rsidP="00584369">
            <w:pPr>
              <w:rPr>
                <w:szCs w:val="22"/>
              </w:rPr>
            </w:pPr>
            <w:r>
              <w:rPr>
                <w:szCs w:val="22"/>
              </w:rPr>
              <w:t>[[CFARAM]] &lt;&lt;YESNO&gt;&gt;</w:t>
            </w:r>
          </w:p>
        </w:tc>
        <w:tc>
          <w:tcPr>
            <w:tcW w:w="1251" w:type="pct"/>
          </w:tcPr>
          <w:p w:rsidR="00584369" w:rsidRDefault="00D61466" w:rsidP="00584369">
            <w:pPr>
              <w:rPr>
                <w:szCs w:val="22"/>
              </w:rPr>
            </w:pPr>
            <w:r>
              <w:rPr>
                <w:szCs w:val="22"/>
              </w:rPr>
              <w:t>[[CFAPresent]] &lt;&lt;YESNO&gt;&gt;</w:t>
            </w:r>
          </w:p>
        </w:tc>
      </w:tr>
      <w:tr w:rsidR="00D61466" w:rsidTr="002A5EF7">
        <w:trPr>
          <w:trHeight w:val="22"/>
        </w:trPr>
        <w:tc>
          <w:tcPr>
            <w:tcW w:w="1249" w:type="pct"/>
            <w:gridSpan w:val="2"/>
          </w:tcPr>
          <w:p w:rsidR="00D61466" w:rsidRPr="00505F85" w:rsidRDefault="00D61466" w:rsidP="00D61466">
            <w:pPr>
              <w:rPr>
                <w:szCs w:val="22"/>
              </w:rPr>
            </w:pPr>
            <w:r>
              <w:rPr>
                <w:szCs w:val="22"/>
              </w:rPr>
              <w:t>2.75” CF B</w:t>
            </w:r>
          </w:p>
        </w:tc>
        <w:tc>
          <w:tcPr>
            <w:tcW w:w="1250" w:type="pct"/>
          </w:tcPr>
          <w:p w:rsidR="00D61466" w:rsidRPr="00505F85" w:rsidRDefault="00D61466" w:rsidP="00D61466">
            <w:pPr>
              <w:ind w:left="200" w:hanging="200"/>
              <w:rPr>
                <w:szCs w:val="22"/>
              </w:rPr>
            </w:pPr>
            <w:r>
              <w:rPr>
                <w:szCs w:val="22"/>
              </w:rPr>
              <w:t>[[CFBSN]] &lt;&lt;CFBSN&gt;&gt;</w:t>
            </w:r>
          </w:p>
        </w:tc>
        <w:tc>
          <w:tcPr>
            <w:tcW w:w="1250" w:type="pct"/>
            <w:gridSpan w:val="2"/>
          </w:tcPr>
          <w:p w:rsidR="00D61466" w:rsidRDefault="00D61466" w:rsidP="00D61466">
            <w:pPr>
              <w:rPr>
                <w:szCs w:val="22"/>
              </w:rPr>
            </w:pPr>
            <w:r>
              <w:rPr>
                <w:szCs w:val="22"/>
              </w:rPr>
              <w:t>[[CFBRAM]] &lt;&lt;YESNO&gt;&gt;</w:t>
            </w:r>
          </w:p>
        </w:tc>
        <w:tc>
          <w:tcPr>
            <w:tcW w:w="1251" w:type="pct"/>
          </w:tcPr>
          <w:p w:rsidR="00D61466" w:rsidRDefault="00D61466" w:rsidP="00D61466">
            <w:pPr>
              <w:rPr>
                <w:szCs w:val="22"/>
              </w:rPr>
            </w:pPr>
            <w:r>
              <w:rPr>
                <w:szCs w:val="22"/>
              </w:rPr>
              <w:t>[[CFBPresent]] &lt;&lt;YESNO&gt;&gt;</w:t>
            </w:r>
          </w:p>
        </w:tc>
      </w:tr>
      <w:tr w:rsidR="00D61466" w:rsidTr="002A5EF7">
        <w:trPr>
          <w:trHeight w:val="22"/>
        </w:trPr>
        <w:tc>
          <w:tcPr>
            <w:tcW w:w="1249" w:type="pct"/>
            <w:gridSpan w:val="2"/>
          </w:tcPr>
          <w:p w:rsidR="00D61466" w:rsidRPr="00505F85" w:rsidRDefault="00D61466" w:rsidP="00D61466">
            <w:pPr>
              <w:rPr>
                <w:szCs w:val="22"/>
              </w:rPr>
            </w:pPr>
            <w:r>
              <w:rPr>
                <w:szCs w:val="22"/>
              </w:rPr>
              <w:t>Viewport or 2.75” CF C</w:t>
            </w:r>
          </w:p>
        </w:tc>
        <w:tc>
          <w:tcPr>
            <w:tcW w:w="1250" w:type="pct"/>
          </w:tcPr>
          <w:p w:rsidR="00D61466" w:rsidRDefault="00D61466" w:rsidP="00D61466">
            <w:pPr>
              <w:ind w:left="200" w:hanging="200"/>
              <w:rPr>
                <w:szCs w:val="22"/>
              </w:rPr>
            </w:pPr>
            <w:r>
              <w:rPr>
                <w:szCs w:val="22"/>
              </w:rPr>
              <w:t>[[ViewportSN]] &lt;&lt;ViewportSN&gt;&gt;</w:t>
            </w:r>
          </w:p>
          <w:p w:rsidR="00D61466" w:rsidRPr="00505F85" w:rsidRDefault="00D61466" w:rsidP="00D61466">
            <w:pPr>
              <w:ind w:left="200" w:hanging="200"/>
              <w:rPr>
                <w:szCs w:val="22"/>
              </w:rPr>
            </w:pPr>
            <w:r>
              <w:rPr>
                <w:szCs w:val="22"/>
              </w:rPr>
              <w:t>[[CFCSN]] &lt;&lt;CFCSN&gt;&gt;</w:t>
            </w:r>
          </w:p>
        </w:tc>
        <w:tc>
          <w:tcPr>
            <w:tcW w:w="1250" w:type="pct"/>
            <w:gridSpan w:val="2"/>
          </w:tcPr>
          <w:p w:rsidR="00D61466" w:rsidRDefault="00D61466" w:rsidP="00D61466">
            <w:pPr>
              <w:rPr>
                <w:szCs w:val="22"/>
              </w:rPr>
            </w:pPr>
            <w:r>
              <w:rPr>
                <w:szCs w:val="22"/>
              </w:rPr>
              <w:t xml:space="preserve">[[ViewportRAM]] &lt;&lt;YESNO&gt;&gt; </w:t>
            </w:r>
          </w:p>
          <w:p w:rsidR="00D61466" w:rsidRDefault="00D61466" w:rsidP="00D61466">
            <w:pPr>
              <w:rPr>
                <w:szCs w:val="22"/>
              </w:rPr>
            </w:pPr>
            <w:r>
              <w:rPr>
                <w:szCs w:val="22"/>
              </w:rPr>
              <w:t>[[CFCRAM]] &lt;&lt;YESNO&gt;&gt;</w:t>
            </w:r>
          </w:p>
        </w:tc>
        <w:tc>
          <w:tcPr>
            <w:tcW w:w="1251" w:type="pct"/>
          </w:tcPr>
          <w:p w:rsidR="00D61466" w:rsidRDefault="00D61466" w:rsidP="00D61466">
            <w:pPr>
              <w:rPr>
                <w:szCs w:val="22"/>
              </w:rPr>
            </w:pPr>
            <w:r>
              <w:rPr>
                <w:szCs w:val="22"/>
              </w:rPr>
              <w:t>[[ViewportPresent]] &lt;&lt;YESNO&gt;&gt;</w:t>
            </w:r>
          </w:p>
          <w:p w:rsidR="00D61466" w:rsidRDefault="00D61466" w:rsidP="00D61466">
            <w:pPr>
              <w:rPr>
                <w:szCs w:val="22"/>
              </w:rPr>
            </w:pPr>
            <w:r>
              <w:rPr>
                <w:szCs w:val="22"/>
              </w:rPr>
              <w:t>[[CFCPresent]] &lt;&lt;YESNO&gt;&gt;</w:t>
            </w:r>
          </w:p>
        </w:tc>
      </w:tr>
      <w:tr w:rsidR="00D61466" w:rsidTr="002A5EF7">
        <w:trPr>
          <w:trHeight w:val="22"/>
        </w:trPr>
        <w:tc>
          <w:tcPr>
            <w:tcW w:w="1249" w:type="pct"/>
            <w:gridSpan w:val="2"/>
          </w:tcPr>
          <w:p w:rsidR="00D61466" w:rsidRPr="00505F85" w:rsidRDefault="00D61466" w:rsidP="00D61466">
            <w:pPr>
              <w:rPr>
                <w:szCs w:val="22"/>
              </w:rPr>
            </w:pPr>
            <w:r>
              <w:rPr>
                <w:szCs w:val="22"/>
              </w:rPr>
              <w:t>Bellow A</w:t>
            </w:r>
          </w:p>
        </w:tc>
        <w:tc>
          <w:tcPr>
            <w:tcW w:w="1250" w:type="pct"/>
          </w:tcPr>
          <w:p w:rsidR="00D61466" w:rsidRPr="00505F85" w:rsidRDefault="00D61466" w:rsidP="00D61466">
            <w:pPr>
              <w:ind w:left="200" w:hanging="200"/>
              <w:rPr>
                <w:szCs w:val="22"/>
              </w:rPr>
            </w:pPr>
            <w:r>
              <w:rPr>
                <w:szCs w:val="22"/>
              </w:rPr>
              <w:t>[[BellowASN]] &lt;&lt;BellowASN&gt;&gt;</w:t>
            </w:r>
          </w:p>
        </w:tc>
        <w:tc>
          <w:tcPr>
            <w:tcW w:w="1250" w:type="pct"/>
            <w:gridSpan w:val="2"/>
          </w:tcPr>
          <w:p w:rsidR="00D61466" w:rsidRDefault="00D61466" w:rsidP="00D61466">
            <w:pPr>
              <w:rPr>
                <w:szCs w:val="22"/>
              </w:rPr>
            </w:pPr>
            <w:r>
              <w:rPr>
                <w:szCs w:val="22"/>
              </w:rPr>
              <w:t>[[BellowARAM]] &lt;&lt;YESNO&gt;&gt;</w:t>
            </w:r>
          </w:p>
        </w:tc>
        <w:tc>
          <w:tcPr>
            <w:tcW w:w="1251" w:type="pct"/>
          </w:tcPr>
          <w:p w:rsidR="00D61466" w:rsidRDefault="00D61466" w:rsidP="00D61466">
            <w:pPr>
              <w:rPr>
                <w:szCs w:val="22"/>
              </w:rPr>
            </w:pPr>
            <w:r>
              <w:rPr>
                <w:szCs w:val="22"/>
              </w:rPr>
              <w:t>[[BellowAPresent]] &lt;&lt;YESNO&gt;&gt;</w:t>
            </w:r>
          </w:p>
        </w:tc>
      </w:tr>
      <w:tr w:rsidR="00D61466" w:rsidTr="002A5EF7">
        <w:trPr>
          <w:trHeight w:val="22"/>
        </w:trPr>
        <w:tc>
          <w:tcPr>
            <w:tcW w:w="1249" w:type="pct"/>
            <w:gridSpan w:val="2"/>
          </w:tcPr>
          <w:p w:rsidR="00D61466" w:rsidRPr="00505F85" w:rsidRDefault="00D61466" w:rsidP="00D61466">
            <w:pPr>
              <w:rPr>
                <w:szCs w:val="22"/>
              </w:rPr>
            </w:pPr>
            <w:r>
              <w:rPr>
                <w:szCs w:val="22"/>
              </w:rPr>
              <w:lastRenderedPageBreak/>
              <w:t>Bellow B</w:t>
            </w:r>
          </w:p>
        </w:tc>
        <w:tc>
          <w:tcPr>
            <w:tcW w:w="1250" w:type="pct"/>
          </w:tcPr>
          <w:p w:rsidR="00D61466" w:rsidRPr="00505F85" w:rsidRDefault="00D61466" w:rsidP="00D61466">
            <w:pPr>
              <w:ind w:left="200" w:hanging="200"/>
              <w:rPr>
                <w:szCs w:val="22"/>
              </w:rPr>
            </w:pPr>
            <w:r>
              <w:rPr>
                <w:szCs w:val="22"/>
              </w:rPr>
              <w:t>[[BellowBSN]] &lt;&lt;BellowBSN&gt;&gt;</w:t>
            </w:r>
          </w:p>
        </w:tc>
        <w:tc>
          <w:tcPr>
            <w:tcW w:w="1250" w:type="pct"/>
            <w:gridSpan w:val="2"/>
          </w:tcPr>
          <w:p w:rsidR="00D61466" w:rsidRDefault="00D61466" w:rsidP="00D61466">
            <w:pPr>
              <w:rPr>
                <w:szCs w:val="22"/>
              </w:rPr>
            </w:pPr>
            <w:r>
              <w:rPr>
                <w:szCs w:val="22"/>
              </w:rPr>
              <w:t>[[BellowBRAM]] &lt;&lt;YESNO&gt;&gt;</w:t>
            </w:r>
          </w:p>
        </w:tc>
        <w:tc>
          <w:tcPr>
            <w:tcW w:w="1251" w:type="pct"/>
          </w:tcPr>
          <w:p w:rsidR="00D61466" w:rsidRDefault="00D61466" w:rsidP="00D61466">
            <w:pPr>
              <w:rPr>
                <w:szCs w:val="22"/>
              </w:rPr>
            </w:pPr>
            <w:r>
              <w:rPr>
                <w:szCs w:val="22"/>
              </w:rPr>
              <w:t>[[BellowBPresent]] &lt;&lt;YESNO&gt;&gt;</w:t>
            </w:r>
          </w:p>
        </w:tc>
      </w:tr>
      <w:tr w:rsidR="00D61466" w:rsidTr="002A5EF7">
        <w:trPr>
          <w:trHeight w:val="22"/>
        </w:trPr>
        <w:tc>
          <w:tcPr>
            <w:tcW w:w="1249" w:type="pct"/>
            <w:gridSpan w:val="2"/>
          </w:tcPr>
          <w:p w:rsidR="00D61466" w:rsidRPr="00505F85" w:rsidRDefault="00D61466" w:rsidP="00D61466">
            <w:pPr>
              <w:rPr>
                <w:szCs w:val="22"/>
              </w:rPr>
            </w:pPr>
            <w:r>
              <w:rPr>
                <w:szCs w:val="22"/>
              </w:rPr>
              <w:t>2.75” CF (AMUV side)</w:t>
            </w:r>
          </w:p>
        </w:tc>
        <w:tc>
          <w:tcPr>
            <w:tcW w:w="1250" w:type="pct"/>
          </w:tcPr>
          <w:p w:rsidR="00D61466" w:rsidRPr="00505F85" w:rsidRDefault="00D61466" w:rsidP="00D61466">
            <w:pPr>
              <w:ind w:left="200" w:hanging="200"/>
              <w:rPr>
                <w:szCs w:val="22"/>
              </w:rPr>
            </w:pPr>
            <w:r>
              <w:rPr>
                <w:szCs w:val="22"/>
              </w:rPr>
              <w:t>[[AMUVCFSN]] &lt;&lt;AMUVCFSN&gt;&gt;</w:t>
            </w:r>
          </w:p>
        </w:tc>
        <w:tc>
          <w:tcPr>
            <w:tcW w:w="1250" w:type="pct"/>
            <w:gridSpan w:val="2"/>
          </w:tcPr>
          <w:p w:rsidR="00D61466" w:rsidRDefault="00D61466" w:rsidP="00D61466">
            <w:pPr>
              <w:rPr>
                <w:szCs w:val="22"/>
              </w:rPr>
            </w:pPr>
            <w:r>
              <w:rPr>
                <w:szCs w:val="22"/>
              </w:rPr>
              <w:t>[[AMUVCFRAM]] &lt;&lt;YESNO&gt;&gt;</w:t>
            </w:r>
          </w:p>
        </w:tc>
        <w:tc>
          <w:tcPr>
            <w:tcW w:w="1251" w:type="pct"/>
          </w:tcPr>
          <w:p w:rsidR="00D61466" w:rsidRDefault="00D61466" w:rsidP="00D61466">
            <w:pPr>
              <w:rPr>
                <w:szCs w:val="22"/>
              </w:rPr>
            </w:pPr>
            <w:r>
              <w:rPr>
                <w:szCs w:val="22"/>
              </w:rPr>
              <w:t>[[AMUVCFPresent]] &lt;&lt;YESNO&gt;&gt;</w:t>
            </w:r>
          </w:p>
        </w:tc>
      </w:tr>
    </w:tbl>
    <w:p w:rsidR="00DD7962" w:rsidRDefault="00DD7962" w:rsidP="00D97B1C"/>
    <w:p w:rsidR="00DD7962" w:rsidRDefault="00DD7962">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DD7962" w:rsidTr="00DD7962">
        <w:tc>
          <w:tcPr>
            <w:tcW w:w="500" w:type="pct"/>
            <w:vAlign w:val="center"/>
          </w:tcPr>
          <w:p w:rsidR="00DD7962" w:rsidRPr="00DD7962" w:rsidRDefault="00DD7962" w:rsidP="00DD7962">
            <w:pPr>
              <w:jc w:val="center"/>
              <w:rPr>
                <w:rStyle w:val="Strong"/>
              </w:rPr>
            </w:pPr>
            <w:r>
              <w:rPr>
                <w:rStyle w:val="Strong"/>
              </w:rPr>
              <w:lastRenderedPageBreak/>
              <w:t>Step No</w:t>
            </w:r>
          </w:p>
        </w:tc>
        <w:tc>
          <w:tcPr>
            <w:tcW w:w="2250" w:type="pct"/>
            <w:vAlign w:val="center"/>
          </w:tcPr>
          <w:p w:rsidR="00DD7962" w:rsidRPr="00DD7962" w:rsidRDefault="00DD7962" w:rsidP="00DD7962">
            <w:pPr>
              <w:jc w:val="center"/>
              <w:rPr>
                <w:rStyle w:val="Strong"/>
              </w:rPr>
            </w:pPr>
            <w:r>
              <w:rPr>
                <w:rStyle w:val="Strong"/>
              </w:rPr>
              <w:t>Instructions</w:t>
            </w:r>
          </w:p>
        </w:tc>
        <w:tc>
          <w:tcPr>
            <w:tcW w:w="1667" w:type="pct"/>
            <w:vAlign w:val="center"/>
          </w:tcPr>
          <w:p w:rsidR="00DD7962" w:rsidRPr="00DD7962" w:rsidRDefault="00DD7962" w:rsidP="00DD7962">
            <w:pPr>
              <w:jc w:val="center"/>
              <w:rPr>
                <w:rStyle w:val="Strong"/>
              </w:rPr>
            </w:pPr>
            <w:r>
              <w:rPr>
                <w:rStyle w:val="Strong"/>
              </w:rPr>
              <w:t>Data Inputs</w:t>
            </w:r>
          </w:p>
        </w:tc>
      </w:tr>
      <w:tr w:rsidR="00DD7962" w:rsidTr="00DD7962">
        <w:tc>
          <w:tcPr>
            <w:tcW w:w="500" w:type="pct"/>
          </w:tcPr>
          <w:p w:rsidR="00DD7962" w:rsidRDefault="00DD7962" w:rsidP="00D97B1C">
            <w:r>
              <w:t>4</w:t>
            </w:r>
          </w:p>
        </w:tc>
        <w:tc>
          <w:tcPr>
            <w:tcW w:w="2250" w:type="pct"/>
          </w:tcPr>
          <w:p w:rsidR="00DD7962" w:rsidRDefault="00DD7962" w:rsidP="00DD7962">
            <w:r>
              <w:t>Set the girder in the cleanroom designated area.</w:t>
            </w:r>
          </w:p>
          <w:p w:rsidR="00DD7962" w:rsidRDefault="00DD7962" w:rsidP="00DD7962">
            <w:r>
              <w:t>Ensure the area and girder are adequately clean.</w:t>
            </w:r>
          </w:p>
          <w:p w:rsidR="00DD7962" w:rsidRDefault="00DD7962" w:rsidP="00DD7962">
            <w:r>
              <w:t>Gather and prepare items (wipers, supplies, tools, etc.) required for assembly and leak check.</w:t>
            </w:r>
          </w:p>
          <w:p w:rsidR="00DD7962" w:rsidRDefault="00DD7962" w:rsidP="00DD7962">
            <w:r>
              <w:t>Let the cleanroom area recover.</w:t>
            </w:r>
          </w:p>
        </w:tc>
        <w:tc>
          <w:tcPr>
            <w:tcW w:w="1667" w:type="pct"/>
          </w:tcPr>
          <w:p w:rsidR="00111834" w:rsidRDefault="00111834" w:rsidP="00D97B1C">
            <w:r>
              <w:t>The cleanroom area and girder components are ready for assembly and leak check.</w:t>
            </w:r>
          </w:p>
          <w:p w:rsidR="00DD7962" w:rsidRDefault="00DD7962" w:rsidP="00D97B1C">
            <w:r>
              <w:t>[[PrepareAreaTechSRFCVP]] &lt;&lt;SRFCVP&gt;&gt;</w:t>
            </w:r>
          </w:p>
          <w:p w:rsidR="00DD7962" w:rsidRDefault="00DD7962" w:rsidP="00D97B1C">
            <w:r>
              <w:t>[[PrepareArea</w:t>
            </w:r>
            <w:r w:rsidR="00C5670C">
              <w:t>Date</w:t>
            </w:r>
            <w:r>
              <w:t>]] &lt;&lt;TIMESTAMP&gt;&gt;</w:t>
            </w:r>
          </w:p>
          <w:p w:rsidR="00DD7962" w:rsidRDefault="00D874F8" w:rsidP="00D97B1C">
            <w:r>
              <w:t>[[PrepareAreaComment]] &lt;&lt;COMMENT&gt;&gt;</w:t>
            </w:r>
          </w:p>
          <w:p w:rsidR="00DD7962" w:rsidRDefault="00DD7962" w:rsidP="00D97B1C"/>
        </w:tc>
      </w:tr>
      <w:tr w:rsidR="00DD7962" w:rsidTr="00DD7962">
        <w:tc>
          <w:tcPr>
            <w:tcW w:w="500" w:type="pct"/>
          </w:tcPr>
          <w:p w:rsidR="00DD7962" w:rsidRDefault="00DD7962" w:rsidP="00D97B1C">
            <w:r>
              <w:t>5</w:t>
            </w:r>
          </w:p>
        </w:tc>
        <w:tc>
          <w:tcPr>
            <w:tcW w:w="2250" w:type="pct"/>
          </w:tcPr>
          <w:p w:rsidR="00DD7962" w:rsidRDefault="00DD7962" w:rsidP="00D97B1C">
            <w:r>
              <w:t>Assemble</w:t>
            </w:r>
            <w:r w:rsidR="006660D1">
              <w:t xml:space="preserve"> all components </w:t>
            </w:r>
            <w:r w:rsidR="006660D1">
              <w:t xml:space="preserve">marked as “Present” in step 3 </w:t>
            </w:r>
            <w:r w:rsidR="006660D1">
              <w:t xml:space="preserve">for the girder assembly </w:t>
            </w:r>
            <w:r>
              <w:t xml:space="preserve">in </w:t>
            </w:r>
            <w:r w:rsidR="006660D1">
              <w:t>accordance with</w:t>
            </w:r>
            <w:r>
              <w:t xml:space="preserve"> the procedure CEBAF-CLNRM-GIRDER-ASSY, Girder Clean Assembly and Leak Check Procedure.</w:t>
            </w:r>
          </w:p>
          <w:p w:rsidR="00DD7962" w:rsidRDefault="00DD7962" w:rsidP="00D97B1C">
            <w:r>
              <w:t>Use caution when handling delicate items such as the BPM chamber and beam viewer.</w:t>
            </w:r>
          </w:p>
          <w:p w:rsidR="00DD7962" w:rsidRDefault="00DD7962" w:rsidP="00D97B1C">
            <w:r>
              <w:t>Store all fasteners for later use or disposal.</w:t>
            </w:r>
          </w:p>
        </w:tc>
        <w:tc>
          <w:tcPr>
            <w:tcW w:w="1667" w:type="pct"/>
          </w:tcPr>
          <w:p w:rsidR="006660D1" w:rsidRDefault="006660D1" w:rsidP="00D97B1C">
            <w:r>
              <w:t xml:space="preserve">All components for </w:t>
            </w:r>
            <w:r w:rsidR="00111834">
              <w:t>this girder have been assembled in accordance with the assembly procedure.</w:t>
            </w:r>
          </w:p>
          <w:p w:rsidR="00DD7962" w:rsidRDefault="00DD7962" w:rsidP="00D97B1C">
            <w:r>
              <w:t>[[AssyTechSRFCVP]] &lt;&lt;SRFCVP&gt;&gt;</w:t>
            </w:r>
          </w:p>
          <w:p w:rsidR="00DD7962" w:rsidRDefault="00C5670C" w:rsidP="00D97B1C">
            <w:r>
              <w:t>[[AssyDate</w:t>
            </w:r>
            <w:r w:rsidR="00D874F8">
              <w:t>]] &lt;&lt;TIMESTAMP&gt;&gt;</w:t>
            </w:r>
          </w:p>
          <w:p w:rsidR="006660D1" w:rsidRDefault="00111834" w:rsidP="00D97B1C">
            <w:r>
              <w:t>[[AssyComment]] &lt;&lt;COMMENT&gt;&gt;</w:t>
            </w:r>
          </w:p>
          <w:p w:rsidR="00DD7962" w:rsidRDefault="00DD7962" w:rsidP="00D97B1C"/>
        </w:tc>
      </w:tr>
      <w:tr w:rsidR="00DD7962" w:rsidTr="00DD7962">
        <w:tc>
          <w:tcPr>
            <w:tcW w:w="500" w:type="pct"/>
          </w:tcPr>
          <w:p w:rsidR="00DD7962" w:rsidRDefault="00C5670C" w:rsidP="00D97B1C">
            <w:r>
              <w:t>6</w:t>
            </w:r>
          </w:p>
        </w:tc>
        <w:tc>
          <w:tcPr>
            <w:tcW w:w="2250" w:type="pct"/>
          </w:tcPr>
          <w:p w:rsidR="00DD7962" w:rsidRDefault="006660D1" w:rsidP="006660D1">
            <w:r>
              <w:t xml:space="preserve">Once the girder is fully assembled, leak check the girder assembly in accordance with the procedure </w:t>
            </w:r>
            <w:r>
              <w:t xml:space="preserve">CEBAF-CLNRM-GIRDER-ASSY, Girder Clean Assembly </w:t>
            </w:r>
            <w:r>
              <w:t>and Leak Check Procedure.</w:t>
            </w:r>
          </w:p>
        </w:tc>
        <w:tc>
          <w:tcPr>
            <w:tcW w:w="1667" w:type="pct"/>
          </w:tcPr>
          <w:p w:rsidR="00DD7962" w:rsidRDefault="00111834" w:rsidP="00D97B1C">
            <w:r>
              <w:t>The girder assembly has passed leak check in accordance with the leak check procedure.</w:t>
            </w:r>
          </w:p>
          <w:p w:rsidR="00111834" w:rsidRDefault="00111834" w:rsidP="00D97B1C">
            <w:r>
              <w:t>[[LeakCheckTechSRFCVP]] &lt;&lt;SRFCVP&gt;&gt;</w:t>
            </w:r>
          </w:p>
          <w:p w:rsidR="00111834" w:rsidRDefault="00111834" w:rsidP="00D97B1C">
            <w:r>
              <w:t>[[LeakCheckDate]] &lt;&lt;TIMESTAMP&gt;&gt;</w:t>
            </w:r>
          </w:p>
          <w:p w:rsidR="00111834" w:rsidRDefault="00111834" w:rsidP="00D97B1C">
            <w:r>
              <w:t>[[LeakCheckRate]] &lt;&lt;SCINOT&gt;&gt;</w:t>
            </w:r>
          </w:p>
          <w:p w:rsidR="00111834" w:rsidRDefault="00111834" w:rsidP="00D97B1C">
            <w:r>
              <w:t>[[LeakCheckComment]] &lt;&lt;COMMENT&gt;&gt;</w:t>
            </w:r>
          </w:p>
          <w:p w:rsidR="005B6A1F" w:rsidRDefault="005B6A1F" w:rsidP="00D97B1C"/>
        </w:tc>
      </w:tr>
      <w:tr w:rsidR="00111834" w:rsidTr="00DD7962">
        <w:tc>
          <w:tcPr>
            <w:tcW w:w="500" w:type="pct"/>
          </w:tcPr>
          <w:p w:rsidR="00111834" w:rsidRDefault="00111834" w:rsidP="00D97B1C">
            <w:r>
              <w:t>7</w:t>
            </w:r>
          </w:p>
        </w:tc>
        <w:tc>
          <w:tcPr>
            <w:tcW w:w="2250" w:type="pct"/>
          </w:tcPr>
          <w:p w:rsidR="00111834" w:rsidRDefault="00111834" w:rsidP="006660D1">
            <w:r>
              <w:t>Coordinate with RadCon for surveying and moving parts from Cleanroom to RMA area or to accomplish the next task.</w:t>
            </w:r>
          </w:p>
        </w:tc>
        <w:tc>
          <w:tcPr>
            <w:tcW w:w="1667" w:type="pct"/>
          </w:tcPr>
          <w:p w:rsidR="00111834" w:rsidRDefault="00111834" w:rsidP="00D97B1C">
            <w:r>
              <w:t>[[RadTechRAD]] &lt;&lt;RAD&gt;&gt;</w:t>
            </w:r>
          </w:p>
          <w:p w:rsidR="00111834" w:rsidRDefault="00111834" w:rsidP="00D97B1C">
            <w:r>
              <w:t>[[RadDate]] &lt;&lt;TIMESTAMP&gt;&gt;</w:t>
            </w:r>
          </w:p>
          <w:p w:rsidR="00111834" w:rsidRDefault="00111834" w:rsidP="00D97B1C">
            <w:r>
              <w:t>[[RadComment]] &lt;&lt;COMMENT&gt;&gt;</w:t>
            </w:r>
          </w:p>
          <w:p w:rsidR="00111834" w:rsidRDefault="00111834" w:rsidP="00D97B1C"/>
        </w:tc>
      </w:tr>
      <w:tr w:rsidR="00111834" w:rsidTr="00DD7962">
        <w:tc>
          <w:tcPr>
            <w:tcW w:w="500" w:type="pct"/>
          </w:tcPr>
          <w:p w:rsidR="00111834" w:rsidRDefault="00111834" w:rsidP="00D97B1C">
            <w:r>
              <w:t>8</w:t>
            </w:r>
          </w:p>
        </w:tc>
        <w:tc>
          <w:tcPr>
            <w:tcW w:w="2250" w:type="pct"/>
          </w:tcPr>
          <w:p w:rsidR="00111834" w:rsidRDefault="00111834" w:rsidP="006660D1">
            <w:r>
              <w:t>Ensure that all RAM tagged parts are placed in an appropriate RMA.</w:t>
            </w:r>
          </w:p>
        </w:tc>
        <w:tc>
          <w:tcPr>
            <w:tcW w:w="1667" w:type="pct"/>
          </w:tcPr>
          <w:p w:rsidR="00111834" w:rsidRDefault="00111834" w:rsidP="00D97B1C">
            <w:r>
              <w:t>[[RAMSRFCVP]] &lt;&lt;SRFCVP&gt;&gt;</w:t>
            </w:r>
          </w:p>
          <w:p w:rsidR="00111834" w:rsidRDefault="00111834" w:rsidP="00D97B1C">
            <w:r>
              <w:t>[[RAMDate]] &lt;&lt;TIMESTAMP&gt;&gt;</w:t>
            </w:r>
          </w:p>
          <w:p w:rsidR="00111834" w:rsidRDefault="00111834" w:rsidP="00D97B1C">
            <w:r>
              <w:t>[[RAMComment]] &lt;&lt;COMMENT&gt;&gt;</w:t>
            </w:r>
          </w:p>
          <w:p w:rsidR="00111834" w:rsidRDefault="00111834" w:rsidP="00D97B1C"/>
        </w:tc>
      </w:tr>
    </w:tbl>
    <w:p w:rsidR="00A208EE" w:rsidRPr="00D97B1C" w:rsidRDefault="00A208EE" w:rsidP="00D97B1C"/>
    <w:sectPr w:rsidR="00A208EE" w:rsidRPr="00D97B1C" w:rsidSect="00A841DF">
      <w:headerReference w:type="default" r:id="rId19"/>
      <w:footerReference w:type="default" r:id="rId2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962" w:rsidRDefault="00DD7962" w:rsidP="00D97B1C">
      <w:r>
        <w:separator/>
      </w:r>
    </w:p>
  </w:endnote>
  <w:endnote w:type="continuationSeparator" w:id="0">
    <w:p w:rsidR="00DD7962" w:rsidRDefault="00DD7962"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962" w:rsidRDefault="00DD7962" w:rsidP="00D97B1C">
    <w:pPr>
      <w:pStyle w:val="Footer"/>
    </w:pPr>
    <w:r>
      <w:rPr>
        <w:noProof/>
      </w:rPr>
      <w:fldChar w:fldCharType="begin"/>
    </w:r>
    <w:r>
      <w:rPr>
        <w:noProof/>
      </w:rPr>
      <w:instrText xml:space="preserve"> FILENAME   \* MERGEFORMAT </w:instrText>
    </w:r>
    <w:r>
      <w:rPr>
        <w:noProof/>
      </w:rPr>
      <w:fldChar w:fldCharType="separate"/>
    </w:r>
    <w:r>
      <w:rPr>
        <w:noProof/>
      </w:rPr>
      <w:t>Girder Clean Assy and LC Traveler</w:t>
    </w:r>
    <w:r>
      <w:rPr>
        <w:noProof/>
      </w:rPr>
      <w:fldChar w:fldCharType="end"/>
    </w:r>
    <w:r>
      <w:ptab w:relativeTo="margin" w:alignment="center" w:leader="none"/>
    </w:r>
    <w:r>
      <w:fldChar w:fldCharType="begin"/>
    </w:r>
    <w:r>
      <w:instrText xml:space="preserve"> PAGE   \* MERGEFORMAT </w:instrText>
    </w:r>
    <w:r>
      <w:fldChar w:fldCharType="separate"/>
    </w:r>
    <w:r w:rsidR="00023D6C">
      <w:rPr>
        <w:noProof/>
      </w:rPr>
      <w:t>7</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023D6C">
      <w:rPr>
        <w:noProof/>
      </w:rPr>
      <w:t>7</w:t>
    </w:r>
    <w:r>
      <w:rPr>
        <w:noProof/>
      </w:rPr>
      <w:fldChar w:fldCharType="end"/>
    </w:r>
    <w:r>
      <w:ptab w:relativeTo="margin" w:alignment="right" w:leader="none"/>
    </w:r>
    <w:r>
      <w:rPr>
        <w:noProof/>
      </w:rPr>
      <w:fldChar w:fldCharType="begin"/>
    </w:r>
    <w:r>
      <w:rPr>
        <w:noProof/>
      </w:rPr>
      <w:instrText xml:space="preserve"> SAVEDATE   \* MERGEFORMAT </w:instrText>
    </w:r>
    <w:r>
      <w:rPr>
        <w:noProof/>
      </w:rPr>
      <w:fldChar w:fldCharType="separate"/>
    </w:r>
    <w:r>
      <w:rPr>
        <w:noProof/>
      </w:rPr>
      <w:t>11/16/2020 5:01:00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962" w:rsidRDefault="00DD7962" w:rsidP="00D97B1C">
      <w:r>
        <w:separator/>
      </w:r>
    </w:p>
  </w:footnote>
  <w:footnote w:type="continuationSeparator" w:id="0">
    <w:p w:rsidR="00DD7962" w:rsidRDefault="00DD7962"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962" w:rsidRDefault="00DD7962"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5699D"/>
    <w:multiLevelType w:val="hybridMultilevel"/>
    <w:tmpl w:val="3B685B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40292E"/>
    <w:multiLevelType w:val="hybridMultilevel"/>
    <w:tmpl w:val="C358B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FE"/>
    <w:rsid w:val="00013708"/>
    <w:rsid w:val="0001458B"/>
    <w:rsid w:val="00023D6C"/>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11834"/>
    <w:rsid w:val="00120492"/>
    <w:rsid w:val="00126275"/>
    <w:rsid w:val="00131799"/>
    <w:rsid w:val="00132397"/>
    <w:rsid w:val="00161325"/>
    <w:rsid w:val="001643DD"/>
    <w:rsid w:val="00164C85"/>
    <w:rsid w:val="00175AF0"/>
    <w:rsid w:val="001835C8"/>
    <w:rsid w:val="00185498"/>
    <w:rsid w:val="001928C4"/>
    <w:rsid w:val="001A2FA2"/>
    <w:rsid w:val="001B0A81"/>
    <w:rsid w:val="001B1150"/>
    <w:rsid w:val="001B6ACD"/>
    <w:rsid w:val="001C016F"/>
    <w:rsid w:val="001C13C3"/>
    <w:rsid w:val="001C41CA"/>
    <w:rsid w:val="001E0C95"/>
    <w:rsid w:val="001E0EE9"/>
    <w:rsid w:val="001E1ADA"/>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A5EF7"/>
    <w:rsid w:val="002C06D8"/>
    <w:rsid w:val="002D325F"/>
    <w:rsid w:val="002E19BD"/>
    <w:rsid w:val="002E35DC"/>
    <w:rsid w:val="002E4AD8"/>
    <w:rsid w:val="002F2829"/>
    <w:rsid w:val="002F292D"/>
    <w:rsid w:val="00317F9D"/>
    <w:rsid w:val="0032290C"/>
    <w:rsid w:val="003230F1"/>
    <w:rsid w:val="00340E8A"/>
    <w:rsid w:val="00347DA8"/>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2F4"/>
    <w:rsid w:val="00437464"/>
    <w:rsid w:val="00452B14"/>
    <w:rsid w:val="004605FE"/>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84369"/>
    <w:rsid w:val="005907B2"/>
    <w:rsid w:val="0059398C"/>
    <w:rsid w:val="00594166"/>
    <w:rsid w:val="005B30E9"/>
    <w:rsid w:val="005B6A1F"/>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660D1"/>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6F55B3"/>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52D3F"/>
    <w:rsid w:val="008668E5"/>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B481D"/>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670C"/>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1466"/>
    <w:rsid w:val="00D67382"/>
    <w:rsid w:val="00D70B2D"/>
    <w:rsid w:val="00D74EA2"/>
    <w:rsid w:val="00D80A0D"/>
    <w:rsid w:val="00D81018"/>
    <w:rsid w:val="00D874F8"/>
    <w:rsid w:val="00D90AA8"/>
    <w:rsid w:val="00D955CF"/>
    <w:rsid w:val="00D97B1C"/>
    <w:rsid w:val="00DA3A56"/>
    <w:rsid w:val="00DA591E"/>
    <w:rsid w:val="00DA72A7"/>
    <w:rsid w:val="00DB7920"/>
    <w:rsid w:val="00DC14A1"/>
    <w:rsid w:val="00DC16C1"/>
    <w:rsid w:val="00DD600F"/>
    <w:rsid w:val="00DD7962"/>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99FBB"/>
  <w15:docId w15:val="{F8C2A80C-EA1F-4EF2-8970-7C7270189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paragraph" w:styleId="ListParagraph">
    <w:name w:val="List Paragraph"/>
    <w:basedOn w:val="Normal"/>
    <w:uiPriority w:val="34"/>
    <w:qFormat/>
    <w:rsid w:val="004372F4"/>
    <w:pPr>
      <w:ind w:left="720"/>
      <w:contextualSpacing/>
    </w:pPr>
    <w:rPr>
      <w:color w:val="000000"/>
      <w:sz w:val="24"/>
      <w:szCs w:val="24"/>
    </w:rPr>
  </w:style>
  <w:style w:type="character" w:styleId="Hyperlink">
    <w:name w:val="Hyperlink"/>
    <w:uiPriority w:val="99"/>
    <w:rsid w:val="004372F4"/>
    <w:rPr>
      <w:color w:val="0000FF"/>
      <w:u w:val="single"/>
    </w:rPr>
  </w:style>
  <w:style w:type="character" w:styleId="CommentReference">
    <w:name w:val="annotation reference"/>
    <w:basedOn w:val="DefaultParagraphFont"/>
    <w:uiPriority w:val="99"/>
    <w:semiHidden/>
    <w:unhideWhenUsed/>
    <w:rsid w:val="002A5EF7"/>
    <w:rPr>
      <w:sz w:val="16"/>
      <w:szCs w:val="16"/>
    </w:rPr>
  </w:style>
  <w:style w:type="paragraph" w:styleId="CommentText">
    <w:name w:val="annotation text"/>
    <w:basedOn w:val="Normal"/>
    <w:link w:val="CommentTextChar"/>
    <w:uiPriority w:val="99"/>
    <w:semiHidden/>
    <w:unhideWhenUsed/>
    <w:rsid w:val="002A5EF7"/>
    <w:rPr>
      <w:sz w:val="20"/>
    </w:rPr>
  </w:style>
  <w:style w:type="character" w:customStyle="1" w:styleId="CommentTextChar">
    <w:name w:val="Comment Text Char"/>
    <w:basedOn w:val="DefaultParagraphFont"/>
    <w:link w:val="CommentText"/>
    <w:uiPriority w:val="99"/>
    <w:semiHidden/>
    <w:rsid w:val="002A5EF7"/>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sportal.jlab.org/jlabDocs/docDownload/5979" TargetMode="External"/><Relationship Id="rId13" Type="http://schemas.openxmlformats.org/officeDocument/2006/relationships/hyperlink" Target="https://misportal.jlab.org/jlabDocs/docDownload/125391" TargetMode="External"/><Relationship Id="rId18" Type="http://schemas.openxmlformats.org/officeDocument/2006/relationships/hyperlink" Target="https://jlabdoc.jlab.org/docushare/dsweb/Get/Document-136323/CP-L2PRD-CLN-PUMP.doc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isportal.jlab.org/jlabDocs/docDownload/112103" TargetMode="External"/><Relationship Id="rId17" Type="http://schemas.openxmlformats.org/officeDocument/2006/relationships/hyperlink" Target="https://jlabdoc.jlab.org/docushare/dsweb/View/Collection-2654?sort=Date" TargetMode="External"/><Relationship Id="rId2" Type="http://schemas.openxmlformats.org/officeDocument/2006/relationships/numbering" Target="numbering.xml"/><Relationship Id="rId16" Type="http://schemas.openxmlformats.org/officeDocument/2006/relationships/hyperlink" Target="https://jlabdoc.jlab.org/docushare/dsweb/Get/Document-73545/Alconox-UserManual.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sportal.jlab.org/jlabDocs/docDownload/47043" TargetMode="External"/><Relationship Id="rId5" Type="http://schemas.openxmlformats.org/officeDocument/2006/relationships/webSettings" Target="webSettings.xml"/><Relationship Id="rId15" Type="http://schemas.openxmlformats.org/officeDocument/2006/relationships/hyperlink" Target="https://mis.jlab.org/mis/apps/mis_forms/operational_safety_procedure_form.cfm?entry_id=83800" TargetMode="External"/><Relationship Id="rId23" Type="http://schemas.openxmlformats.org/officeDocument/2006/relationships/theme" Target="theme/theme1.xml"/><Relationship Id="rId10" Type="http://schemas.openxmlformats.org/officeDocument/2006/relationships/hyperlink" Target="https://misportal.jlab.org/jlabDocs/docDownload/4704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sportal.jlab.org/jlabDocs/docDownload/126084" TargetMode="External"/><Relationship Id="rId14" Type="http://schemas.openxmlformats.org/officeDocument/2006/relationships/hyperlink" Target="https://jlabdoc.jlab.org/docushare/dsweb/Get/Document-61925/22634-S-001%5b1%5d.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24BF6630D234057B8A6F80CBB7D8970"/>
        <w:category>
          <w:name w:val="General"/>
          <w:gallery w:val="placeholder"/>
        </w:category>
        <w:types>
          <w:type w:val="bbPlcHdr"/>
        </w:types>
        <w:behaviors>
          <w:behavior w:val="content"/>
        </w:behaviors>
        <w:guid w:val="{3B4815D3-13BA-482F-9949-65A555A3DBCC}"/>
      </w:docPartPr>
      <w:docPartBody>
        <w:p w:rsidR="00000000" w:rsidRDefault="00534BA6">
          <w:pPr>
            <w:pStyle w:val="924BF6630D234057B8A6F80CBB7D8970"/>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24BF6630D234057B8A6F80CBB7D8970">
    <w:name w:val="924BF6630D234057B8A6F80CBB7D89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F3F39-87EB-4025-BAFD-E7A7DA4A2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1145</TotalTime>
  <Pages>7</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Ganey</dc:creator>
  <cp:lastModifiedBy>Tiffany Ganey</cp:lastModifiedBy>
  <cp:revision>10</cp:revision>
  <dcterms:created xsi:type="dcterms:W3CDTF">2020-11-16T19:44:00Z</dcterms:created>
  <dcterms:modified xsi:type="dcterms:W3CDTF">2020-11-17T15:06:00Z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