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1B650E" w:rsidRDefault="007C66FF" w:rsidP="002B26BB">
            <w:r w:rsidRPr="001B650E">
              <w:t>VTA</w:t>
            </w:r>
            <w:r w:rsidR="00C22146" w:rsidRPr="001B650E">
              <w:t xml:space="preserve"> </w:t>
            </w:r>
            <w:r w:rsidR="00FD0A95">
              <w:t xml:space="preserve">RF </w:t>
            </w:r>
            <w:r w:rsidRPr="001B650E">
              <w:t>Cavity Tes</w:t>
            </w:r>
            <w:r w:rsidR="00F35A62" w:rsidRPr="001B650E">
              <w:t>t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1B650E" w:rsidRDefault="00696078" w:rsidP="00FD0A95">
            <w:r>
              <w:t xml:space="preserve">Standard Data Acquisition for </w:t>
            </w:r>
            <w:r w:rsidR="007C66FF" w:rsidRPr="001B650E">
              <w:t>testing</w:t>
            </w:r>
            <w:r w:rsidR="009A3F60">
              <w:t xml:space="preserve"> of</w:t>
            </w:r>
            <w:r w:rsidR="007C66FF" w:rsidRPr="001B650E">
              <w:t xml:space="preserve"> </w:t>
            </w:r>
            <w:r w:rsidR="009A3F60">
              <w:t>c</w:t>
            </w:r>
            <w:r w:rsidR="007C66FF" w:rsidRPr="001B650E">
              <w:t>avities</w:t>
            </w:r>
            <w:r w:rsidR="00FD0A95">
              <w:t xml:space="preserve"> in the Vertical Test Area (VTA)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0329D" w:rsidP="00D97B1C">
            <w:r>
              <w:t>USLARP-CAV-VTRF-RFD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0734B2" w:rsidP="001143C0">
            <w:r>
              <w:t>R</w:t>
            </w:r>
            <w:r w:rsidR="0040329D">
              <w:t>2</w:t>
            </w:r>
          </w:p>
        </w:tc>
      </w:tr>
      <w:tr w:rsidR="004E1631" w:rsidRPr="00D97B1C" w:rsidTr="00A841DF">
        <w:trPr>
          <w:trHeight w:val="288"/>
        </w:trPr>
        <w:tc>
          <w:tcPr>
            <w:tcW w:w="998" w:type="pct"/>
          </w:tcPr>
          <w:p w:rsidR="004E1631" w:rsidRPr="00D97B1C" w:rsidRDefault="004E1631" w:rsidP="004E1631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4E1631" w:rsidRPr="00D97B1C" w:rsidRDefault="0040329D" w:rsidP="004E1631">
            <w:r>
              <w:t>N. Huque</w:t>
            </w:r>
          </w:p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CC2582" w:rsidRPr="00602104" w:rsidRDefault="00A91E74" w:rsidP="001143C0">
            <w:r>
              <w:t>5-Oct-2018</w:t>
            </w:r>
          </w:p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Approval Names</w:t>
            </w:r>
          </w:p>
        </w:tc>
        <w:tc>
          <w:tcPr>
            <w:tcW w:w="1001" w:type="pct"/>
          </w:tcPr>
          <w:p w:rsidR="00CC2582" w:rsidRPr="00D97B1C" w:rsidRDefault="0040329D" w:rsidP="00CC2582">
            <w:r>
              <w:t>N. Huque</w:t>
            </w:r>
          </w:p>
        </w:tc>
        <w:tc>
          <w:tcPr>
            <w:tcW w:w="1000" w:type="pct"/>
          </w:tcPr>
          <w:p w:rsidR="00CC2582" w:rsidRPr="00D97B1C" w:rsidRDefault="00D7756F" w:rsidP="00CC2582">
            <w:r>
              <w:t>T. Powers</w:t>
            </w:r>
          </w:p>
        </w:tc>
        <w:tc>
          <w:tcPr>
            <w:tcW w:w="1000" w:type="pct"/>
          </w:tcPr>
          <w:p w:rsidR="00CC2582" w:rsidRPr="00D97B1C" w:rsidRDefault="00D7756F" w:rsidP="00CC2582">
            <w:r>
              <w:t>A. McEwen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>
              <w:t>Approval Signatures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1" w:type="pct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0" w:type="pct"/>
          </w:tcPr>
          <w:p w:rsidR="00CC2582" w:rsidRPr="00D97B1C" w:rsidRDefault="00CC2582" w:rsidP="00CC2582"/>
        </w:tc>
        <w:tc>
          <w:tcPr>
            <w:tcW w:w="1001" w:type="pct"/>
          </w:tcPr>
          <w:p w:rsidR="00CC2582" w:rsidRPr="00D97B1C" w:rsidRDefault="00CC2582" w:rsidP="00CC2582"/>
        </w:tc>
      </w:tr>
      <w:tr w:rsidR="00CC2582" w:rsidRPr="00D97B1C" w:rsidTr="00A841DF">
        <w:trPr>
          <w:trHeight w:val="288"/>
        </w:trPr>
        <w:tc>
          <w:tcPr>
            <w:tcW w:w="998" w:type="pct"/>
          </w:tcPr>
          <w:p w:rsidR="00CC2582" w:rsidRPr="00D97B1C" w:rsidRDefault="00CC2582" w:rsidP="00CC2582">
            <w:r w:rsidRPr="00D97B1C">
              <w:t>Approval Title</w:t>
            </w:r>
          </w:p>
        </w:tc>
        <w:tc>
          <w:tcPr>
            <w:tcW w:w="1001" w:type="pct"/>
          </w:tcPr>
          <w:p w:rsidR="00CC2582" w:rsidRPr="00D97B1C" w:rsidRDefault="00CC2582" w:rsidP="00CC2582">
            <w:r w:rsidRPr="00D97B1C">
              <w:t>Author</w:t>
            </w:r>
          </w:p>
        </w:tc>
        <w:tc>
          <w:tcPr>
            <w:tcW w:w="1000" w:type="pct"/>
          </w:tcPr>
          <w:p w:rsidR="00CC2582" w:rsidRPr="00D97B1C" w:rsidRDefault="00CC2582" w:rsidP="00CC2582">
            <w:r w:rsidRPr="00D97B1C">
              <w:t>Reviewer</w:t>
            </w:r>
          </w:p>
        </w:tc>
        <w:tc>
          <w:tcPr>
            <w:tcW w:w="1000" w:type="pct"/>
          </w:tcPr>
          <w:p w:rsidR="00CC2582" w:rsidRPr="00D97B1C" w:rsidRDefault="00CC2582" w:rsidP="00CC2582">
            <w:r>
              <w:t>Reviewer</w:t>
            </w:r>
          </w:p>
        </w:tc>
        <w:tc>
          <w:tcPr>
            <w:tcW w:w="1001" w:type="pct"/>
          </w:tcPr>
          <w:p w:rsidR="00CC2582" w:rsidRPr="00D97B1C" w:rsidRDefault="00CC2582" w:rsidP="00CC2582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3"/>
        <w:gridCol w:w="3595"/>
        <w:gridCol w:w="3329"/>
        <w:gridCol w:w="2881"/>
        <w:gridCol w:w="74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C66FF" w:rsidRPr="00D97B1C" w:rsidTr="0028173C">
        <w:trPr>
          <w:cantSplit/>
          <w:trHeight w:val="288"/>
        </w:trPr>
        <w:tc>
          <w:tcPr>
            <w:tcW w:w="999" w:type="pct"/>
          </w:tcPr>
          <w:p w:rsidR="007C66FF" w:rsidRPr="00D97B1C" w:rsidRDefault="00643537" w:rsidP="00D97B1C">
            <w:r>
              <w:t>See SOP posted at workcenter</w:t>
            </w:r>
          </w:p>
        </w:tc>
        <w:tc>
          <w:tcPr>
            <w:tcW w:w="1364" w:type="pct"/>
          </w:tcPr>
          <w:p w:rsidR="007C66FF" w:rsidRPr="00543DDA" w:rsidRDefault="00543DDA" w:rsidP="007C66FF">
            <w:pPr>
              <w:rPr>
                <w:b/>
                <w:color w:val="FF0000"/>
              </w:rPr>
            </w:pPr>
            <w:r w:rsidRPr="00543DDA">
              <w:rPr>
                <w:b/>
                <w:color w:val="FF0000"/>
              </w:rPr>
              <w:t>Automated Testing Spreadsheet:</w:t>
            </w:r>
          </w:p>
        </w:tc>
        <w:tc>
          <w:tcPr>
            <w:tcW w:w="1263" w:type="pct"/>
          </w:tcPr>
          <w:p w:rsidR="007C66FF" w:rsidRPr="009B6FCC" w:rsidRDefault="0040329D" w:rsidP="001F5D13">
            <w:hyperlink r:id="rId8" w:history="1">
              <w:r w:rsidR="00273C7E">
                <w:rPr>
                  <w:rStyle w:val="Hyperlink"/>
                  <w:szCs w:val="24"/>
                </w:rPr>
                <w:t>Automated C</w:t>
              </w:r>
              <w:r w:rsidR="001F5D13">
                <w:rPr>
                  <w:rStyle w:val="Hyperlink"/>
                  <w:szCs w:val="24"/>
                </w:rPr>
                <w:t>avity VTA RF Test Template Spreadsheet</w:t>
              </w:r>
            </w:hyperlink>
          </w:p>
        </w:tc>
        <w:tc>
          <w:tcPr>
            <w:tcW w:w="1093" w:type="pct"/>
          </w:tcPr>
          <w:p w:rsidR="007C66FF" w:rsidRPr="00D97B1C" w:rsidRDefault="0040329D" w:rsidP="00D97B1C">
            <w:hyperlink r:id="rId9" w:history="1">
              <w:r w:rsidR="0028173C" w:rsidRPr="0028173C">
                <w:rPr>
                  <w:rStyle w:val="Hyperlink"/>
                </w:rPr>
                <w:t>VTA Operation Procedures: CP-STP-CAV-VTA-OPS</w:t>
              </w:r>
            </w:hyperlink>
          </w:p>
        </w:tc>
        <w:tc>
          <w:tcPr>
            <w:tcW w:w="281" w:type="pct"/>
          </w:tcPr>
          <w:p w:rsidR="007C66FF" w:rsidRPr="00D97B1C" w:rsidRDefault="007C66FF" w:rsidP="00D97B1C"/>
        </w:tc>
      </w:tr>
      <w:tr w:rsidR="007C66FF" w:rsidRPr="00D97B1C" w:rsidTr="0028173C">
        <w:trPr>
          <w:cantSplit/>
          <w:trHeight w:val="288"/>
        </w:trPr>
        <w:tc>
          <w:tcPr>
            <w:tcW w:w="999" w:type="pct"/>
          </w:tcPr>
          <w:p w:rsidR="007C66FF" w:rsidRPr="00305477" w:rsidRDefault="0040329D" w:rsidP="00D97B1C">
            <w:pPr>
              <w:rPr>
                <w:rFonts w:ascii="Calibri" w:hAnsi="Calibri"/>
                <w:color w:val="0563C1"/>
                <w:szCs w:val="22"/>
                <w:u w:val="single"/>
              </w:rPr>
            </w:pPr>
            <w:hyperlink r:id="rId10" w:history="1">
              <w:r w:rsidR="00305477">
                <w:rPr>
                  <w:rStyle w:val="Hyperlink"/>
                  <w:rFonts w:ascii="Calibri" w:hAnsi="Calibri"/>
                  <w:szCs w:val="22"/>
                </w:rPr>
                <w:t>VIEW Cavity Type Spreadsheet</w:t>
              </w:r>
            </w:hyperlink>
          </w:p>
        </w:tc>
        <w:tc>
          <w:tcPr>
            <w:tcW w:w="1364" w:type="pct"/>
          </w:tcPr>
          <w:p w:rsidR="007C66FF" w:rsidRPr="00543DDA" w:rsidRDefault="00543DDA" w:rsidP="00D97B1C">
            <w:pPr>
              <w:rPr>
                <w:b/>
                <w:color w:val="FF0000"/>
              </w:rPr>
            </w:pPr>
            <w:r w:rsidRPr="00543DDA">
              <w:rPr>
                <w:b/>
                <w:color w:val="FF0000"/>
              </w:rPr>
              <w:t>Manual testing Spreasheet:</w:t>
            </w:r>
          </w:p>
        </w:tc>
        <w:tc>
          <w:tcPr>
            <w:tcW w:w="1263" w:type="pct"/>
          </w:tcPr>
          <w:p w:rsidR="007C66FF" w:rsidRPr="00543DDA" w:rsidRDefault="0040329D" w:rsidP="001F5D13">
            <w:pPr>
              <w:rPr>
                <w:color w:val="FF0000"/>
              </w:rPr>
            </w:pPr>
            <w:hyperlink r:id="rId11" w:history="1">
              <w:r w:rsidR="00273C7E">
                <w:rPr>
                  <w:rStyle w:val="Hyperlink"/>
                </w:rPr>
                <w:t>Manual C</w:t>
              </w:r>
              <w:r w:rsidR="002D2045" w:rsidRPr="002D2045">
                <w:rPr>
                  <w:rStyle w:val="Hyperlink"/>
                </w:rPr>
                <w:t xml:space="preserve">avity </w:t>
              </w:r>
              <w:r w:rsidR="001F5D13">
                <w:rPr>
                  <w:rStyle w:val="Hyperlink"/>
                </w:rPr>
                <w:t xml:space="preserve">VTA </w:t>
              </w:r>
              <w:r w:rsidR="002D2045" w:rsidRPr="002D2045">
                <w:rPr>
                  <w:rStyle w:val="Hyperlink"/>
                </w:rPr>
                <w:t>RF Test Templat</w:t>
              </w:r>
              <w:r w:rsidR="001F5D13">
                <w:rPr>
                  <w:rStyle w:val="Hyperlink"/>
                </w:rPr>
                <w:t xml:space="preserve">e Spreadsheet </w:t>
              </w:r>
            </w:hyperlink>
          </w:p>
        </w:tc>
        <w:tc>
          <w:tcPr>
            <w:tcW w:w="1093" w:type="pct"/>
          </w:tcPr>
          <w:p w:rsidR="007C66FF" w:rsidRPr="00D97B1C" w:rsidRDefault="007C66FF" w:rsidP="00D97B1C"/>
        </w:tc>
        <w:tc>
          <w:tcPr>
            <w:tcW w:w="281" w:type="pct"/>
          </w:tcPr>
          <w:p w:rsidR="007C66FF" w:rsidRPr="00D97B1C" w:rsidRDefault="007C66FF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A91E74">
            <w:r w:rsidRPr="00D97B1C">
              <w:t>Initial release of this Traveler.</w:t>
            </w:r>
          </w:p>
        </w:tc>
      </w:tr>
      <w:tr w:rsidR="0040329D" w:rsidRPr="00D97B1C" w:rsidTr="00A841DF">
        <w:trPr>
          <w:cantSplit/>
        </w:trPr>
        <w:tc>
          <w:tcPr>
            <w:tcW w:w="1000" w:type="pct"/>
          </w:tcPr>
          <w:p w:rsidR="0040329D" w:rsidRPr="00D97B1C" w:rsidRDefault="0040329D" w:rsidP="00D97B1C">
            <w:r>
              <w:t>R2</w:t>
            </w:r>
          </w:p>
        </w:tc>
        <w:tc>
          <w:tcPr>
            <w:tcW w:w="4000" w:type="pct"/>
          </w:tcPr>
          <w:p w:rsidR="0040329D" w:rsidRPr="00D97B1C" w:rsidRDefault="0040329D" w:rsidP="00A91E74">
            <w:r>
              <w:t>Modifications per T. Powers &amp; A. McEwen</w:t>
            </w:r>
          </w:p>
        </w:tc>
      </w:tr>
    </w:tbl>
    <w:p w:rsidR="007D458D" w:rsidRDefault="007D458D" w:rsidP="00D97B1C">
      <w:r w:rsidRPr="00D97B1C">
        <w:br w:type="page"/>
      </w:r>
    </w:p>
    <w:p w:rsidR="000C62A6" w:rsidRDefault="000C62A6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6"/>
        <w:gridCol w:w="1461"/>
        <w:gridCol w:w="1877"/>
        <w:gridCol w:w="1161"/>
        <w:gridCol w:w="2800"/>
        <w:gridCol w:w="237"/>
        <w:gridCol w:w="3298"/>
      </w:tblGrid>
      <w:tr w:rsidR="00F3251F" w:rsidRPr="00D97B1C" w:rsidTr="00947ECF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18" w:space="0" w:color="auto"/>
            </w:tcBorders>
            <w:shd w:val="clear" w:color="auto" w:fill="DBE5F1" w:themeFill="accent1" w:themeFillTint="33"/>
          </w:tcPr>
          <w:p w:rsidR="00F3251F" w:rsidRPr="00F3251F" w:rsidRDefault="00F3251F" w:rsidP="00F3251F">
            <w:pPr>
              <w:jc w:val="center"/>
              <w:rPr>
                <w:b/>
                <w:sz w:val="24"/>
              </w:rPr>
            </w:pPr>
            <w:r w:rsidRPr="00F3251F">
              <w:rPr>
                <w:b/>
                <w:sz w:val="24"/>
              </w:rPr>
              <w:t>Standard VTA RF Cavity Test Traveler</w:t>
            </w:r>
          </w:p>
        </w:tc>
      </w:tr>
      <w:tr w:rsidR="00A67D99" w:rsidRPr="00D97B1C" w:rsidTr="00947ECF">
        <w:trPr>
          <w:cantSplit/>
          <w:trHeight w:val="144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:rsidR="00A67D99" w:rsidRPr="00A67D99" w:rsidRDefault="00A67D99" w:rsidP="00CE6F27">
            <w:pPr>
              <w:rPr>
                <w:b/>
              </w:rPr>
            </w:pPr>
            <w:r w:rsidRPr="00A67D99">
              <w:rPr>
                <w:b/>
              </w:rPr>
              <w:t>SETUP</w:t>
            </w:r>
          </w:p>
        </w:tc>
      </w:tr>
      <w:tr w:rsidR="00D7756F" w:rsidRPr="00D97B1C" w:rsidTr="00D7756F">
        <w:trPr>
          <w:cantSplit/>
          <w:trHeight w:val="144"/>
        </w:trPr>
        <w:tc>
          <w:tcPr>
            <w:tcW w:w="5694" w:type="dxa"/>
            <w:gridSpan w:val="3"/>
            <w:vMerge w:val="restart"/>
          </w:tcPr>
          <w:p w:rsidR="00D7756F" w:rsidRPr="00CE6F27" w:rsidRDefault="00D7756F" w:rsidP="007E720D">
            <w:r w:rsidRPr="00CE6F27">
              <w:t>[[CAVSN]] &lt;&lt;CAVSN&gt;&gt;</w:t>
            </w:r>
          </w:p>
        </w:tc>
        <w:tc>
          <w:tcPr>
            <w:tcW w:w="3961" w:type="dxa"/>
            <w:gridSpan w:val="2"/>
          </w:tcPr>
          <w:p w:rsidR="00D7756F" w:rsidRPr="00CE6F27" w:rsidRDefault="00D7756F" w:rsidP="00CE6F27">
            <w:r w:rsidRPr="00CE6F27">
              <w:t>[[TestOperator]] &lt;&lt;VTAOPS&gt;&gt;</w:t>
            </w:r>
          </w:p>
        </w:tc>
        <w:tc>
          <w:tcPr>
            <w:tcW w:w="3535" w:type="dxa"/>
            <w:gridSpan w:val="2"/>
            <w:vMerge w:val="restart"/>
            <w:shd w:val="clear" w:color="auto" w:fill="auto"/>
            <w:noWrap/>
          </w:tcPr>
          <w:p w:rsidR="00D7756F" w:rsidRDefault="00D7756F" w:rsidP="007E720D">
            <w:r>
              <w:t>Test Purpose Comment (Include recent history note):</w:t>
            </w:r>
          </w:p>
          <w:p w:rsidR="00D7756F" w:rsidRPr="00CE6F27" w:rsidRDefault="00D7756F" w:rsidP="007E720D">
            <w:r w:rsidRPr="00CE6F27">
              <w:t>[[TestPurpose]] &lt;&lt;COMMENT&gt;&gt;</w:t>
            </w:r>
          </w:p>
        </w:tc>
      </w:tr>
      <w:tr w:rsidR="00D7756F" w:rsidRPr="00D97B1C" w:rsidTr="00D7756F">
        <w:trPr>
          <w:cantSplit/>
          <w:trHeight w:val="144"/>
        </w:trPr>
        <w:tc>
          <w:tcPr>
            <w:tcW w:w="5694" w:type="dxa"/>
            <w:gridSpan w:val="3"/>
            <w:vMerge/>
          </w:tcPr>
          <w:p w:rsidR="00D7756F" w:rsidRPr="009D6B65" w:rsidRDefault="00D7756F" w:rsidP="007E720D">
            <w:pPr>
              <w:rPr>
                <w:i/>
              </w:rPr>
            </w:pPr>
          </w:p>
        </w:tc>
        <w:tc>
          <w:tcPr>
            <w:tcW w:w="3961" w:type="dxa"/>
            <w:gridSpan w:val="2"/>
          </w:tcPr>
          <w:p w:rsidR="00D7756F" w:rsidRPr="00CE6F27" w:rsidRDefault="00D7756F" w:rsidP="00CE6F27">
            <w:r w:rsidRPr="00CE6F27">
              <w:t>[[TestDate]] &lt;&lt;TIMESTAMP&gt;&gt;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:rsidR="00D7756F" w:rsidRPr="00CE6F27" w:rsidRDefault="00D7756F" w:rsidP="007E720D"/>
        </w:tc>
      </w:tr>
      <w:tr w:rsidR="00D7756F" w:rsidRPr="00D97B1C" w:rsidTr="00D7756F">
        <w:trPr>
          <w:cantSplit/>
          <w:trHeight w:val="144"/>
        </w:trPr>
        <w:tc>
          <w:tcPr>
            <w:tcW w:w="5694" w:type="dxa"/>
            <w:gridSpan w:val="3"/>
            <w:vMerge/>
          </w:tcPr>
          <w:p w:rsidR="00D7756F" w:rsidRPr="00CE6F27" w:rsidRDefault="00D7756F" w:rsidP="001678B7"/>
        </w:tc>
        <w:tc>
          <w:tcPr>
            <w:tcW w:w="3961" w:type="dxa"/>
            <w:gridSpan w:val="2"/>
          </w:tcPr>
          <w:p w:rsidR="00D7756F" w:rsidRPr="00CE6F27" w:rsidRDefault="00D7756F" w:rsidP="00CC512F">
            <w:r w:rsidRPr="00CE6F27">
              <w:t>[[Dewar]] {{3,4,5,6,7,8}} &lt;&lt;SELECT&gt;&gt;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:rsidR="00D7756F" w:rsidRPr="00CE6F27" w:rsidRDefault="00D7756F" w:rsidP="007E720D"/>
        </w:tc>
      </w:tr>
      <w:tr w:rsidR="00D7756F" w:rsidRPr="00D97B1C" w:rsidTr="00D7756F">
        <w:trPr>
          <w:cantSplit/>
          <w:trHeight w:val="144"/>
        </w:trPr>
        <w:tc>
          <w:tcPr>
            <w:tcW w:w="5694" w:type="dxa"/>
            <w:gridSpan w:val="3"/>
            <w:vMerge/>
          </w:tcPr>
          <w:p w:rsidR="00D7756F" w:rsidRPr="00CE6F27" w:rsidRDefault="00D7756F" w:rsidP="00CE6F27"/>
        </w:tc>
        <w:tc>
          <w:tcPr>
            <w:tcW w:w="3961" w:type="dxa"/>
            <w:gridSpan w:val="2"/>
          </w:tcPr>
          <w:p w:rsidR="00D7756F" w:rsidRPr="00CE6F27" w:rsidRDefault="00D7756F" w:rsidP="00CC512F">
            <w:r w:rsidRPr="00CE6F27">
              <w:t>[[VTATSSN]] &lt;&lt;VTATSSN&gt;&gt;</w:t>
            </w:r>
          </w:p>
        </w:tc>
        <w:tc>
          <w:tcPr>
            <w:tcW w:w="3535" w:type="dxa"/>
            <w:gridSpan w:val="2"/>
            <w:vMerge/>
            <w:shd w:val="clear" w:color="auto" w:fill="auto"/>
            <w:noWrap/>
          </w:tcPr>
          <w:p w:rsidR="00D7756F" w:rsidRPr="00CE6F27" w:rsidRDefault="00D7756F" w:rsidP="00CE6F27"/>
        </w:tc>
      </w:tr>
      <w:tr w:rsidR="00F9652F" w:rsidRPr="00D97B1C" w:rsidTr="00F9652F">
        <w:trPr>
          <w:cantSplit/>
          <w:trHeight w:val="285"/>
        </w:trPr>
        <w:tc>
          <w:tcPr>
            <w:tcW w:w="13190" w:type="dxa"/>
            <w:gridSpan w:val="7"/>
            <w:shd w:val="clear" w:color="auto" w:fill="auto"/>
          </w:tcPr>
          <w:p w:rsidR="00F9652F" w:rsidRDefault="00F9652F" w:rsidP="007366A6">
            <w:pPr>
              <w:rPr>
                <w:b/>
              </w:rPr>
            </w:pPr>
            <w:r>
              <w:rPr>
                <w:b/>
              </w:rPr>
              <w:t>Cavity Parameters</w:t>
            </w:r>
          </w:p>
          <w:p w:rsidR="00F9652F" w:rsidRPr="00F9652F" w:rsidRDefault="00F9652F" w:rsidP="007366A6">
            <w:r w:rsidRPr="00F9652F">
              <w:t>[[</w:t>
            </w:r>
            <w:r>
              <w:t>CavityType</w:t>
            </w:r>
            <w:r w:rsidRPr="00F9652F">
              <w:t>]] &lt;&lt;TEXT&gt;&gt;</w:t>
            </w:r>
          </w:p>
          <w:p w:rsidR="00F9652F" w:rsidRPr="00F9652F" w:rsidRDefault="00F9652F" w:rsidP="007366A6">
            <w:r w:rsidRPr="00F9652F">
              <w:t>[[</w:t>
            </w:r>
            <w:r>
              <w:t>NumOfCells</w:t>
            </w:r>
            <w:r w:rsidRPr="00F9652F">
              <w:t>]] &lt;&lt;INTEGER&gt;&gt;</w:t>
            </w:r>
          </w:p>
          <w:p w:rsidR="00F9652F" w:rsidRPr="00F9652F" w:rsidRDefault="00F9652F" w:rsidP="007366A6">
            <w:r w:rsidRPr="00F9652F">
              <w:t>[[</w:t>
            </w:r>
            <w:r>
              <w:t>Freq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CavLength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Kappa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EpVsEacc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BpVsEacc</w:t>
            </w:r>
            <w:r w:rsidRPr="00F9652F">
              <w:t>]] &lt;&lt;FLOAT&gt;&gt;</w:t>
            </w:r>
          </w:p>
          <w:p w:rsidR="00F9652F" w:rsidRPr="00F9652F" w:rsidRDefault="00F9652F" w:rsidP="007366A6">
            <w:r w:rsidRPr="00F9652F">
              <w:t>[[</w:t>
            </w:r>
            <w:r>
              <w:t>GeoFactor]] &lt;&lt;FLOAT&gt;&gt;</w:t>
            </w:r>
          </w:p>
        </w:tc>
      </w:tr>
      <w:tr w:rsidR="00901270" w:rsidRPr="00D97B1C" w:rsidTr="00947ECF">
        <w:trPr>
          <w:cantSplit/>
          <w:trHeight w:val="285"/>
        </w:trPr>
        <w:tc>
          <w:tcPr>
            <w:tcW w:w="13190" w:type="dxa"/>
            <w:gridSpan w:val="7"/>
            <w:shd w:val="clear" w:color="auto" w:fill="EAF1DD" w:themeFill="accent3" w:themeFillTint="33"/>
          </w:tcPr>
          <w:p w:rsidR="00901270" w:rsidRPr="00A67D99" w:rsidRDefault="00901270" w:rsidP="007366A6">
            <w:pPr>
              <w:rPr>
                <w:b/>
              </w:rPr>
            </w:pPr>
            <w:r w:rsidRPr="00A67D99">
              <w:rPr>
                <w:b/>
              </w:rPr>
              <w:t>TEST</w:t>
            </w:r>
          </w:p>
        </w:tc>
      </w:tr>
      <w:tr w:rsidR="00901270" w:rsidRPr="00D97B1C" w:rsidTr="00D7756F">
        <w:trPr>
          <w:cantSplit/>
          <w:trHeight w:val="1250"/>
        </w:trPr>
        <w:tc>
          <w:tcPr>
            <w:tcW w:w="2356" w:type="dxa"/>
          </w:tcPr>
          <w:p w:rsidR="00901270" w:rsidRPr="00CE6F27" w:rsidRDefault="00901270" w:rsidP="00CE6F27">
            <w:r w:rsidRPr="00CE6F27">
              <w:t>[[</w:t>
            </w:r>
            <w:r>
              <w:t>Primary</w:t>
            </w:r>
            <w:r w:rsidRPr="00CE6F27">
              <w:t>Temperature]] &lt;&lt;FLOAT&gt;&gt;</w:t>
            </w:r>
          </w:p>
        </w:tc>
        <w:tc>
          <w:tcPr>
            <w:tcW w:w="10834" w:type="dxa"/>
            <w:gridSpan w:val="6"/>
            <w:vMerge w:val="restart"/>
          </w:tcPr>
          <w:tbl>
            <w:tblPr>
              <w:tblStyle w:val="TableGrid"/>
              <w:tblW w:w="5000" w:type="pct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40"/>
              <w:gridCol w:w="2811"/>
              <w:gridCol w:w="2758"/>
              <w:gridCol w:w="3285"/>
            </w:tblGrid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D97B1C" w:rsidRDefault="00901270" w:rsidP="007366A6"/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901270" w:rsidRPr="00A777A8" w:rsidRDefault="0040329D" w:rsidP="007366A6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Voltage Reflected</w:t>
                  </w:r>
                </w:p>
              </w:tc>
              <w:tc>
                <w:tcPr>
                  <w:tcW w:w="3420" w:type="dxa"/>
                  <w:shd w:val="clear" w:color="auto" w:fill="EAF1DD" w:themeFill="accent3" w:themeFillTint="33"/>
                </w:tcPr>
                <w:p w:rsidR="00901270" w:rsidRPr="00A777A8" w:rsidRDefault="00901270" w:rsidP="007366A6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Qo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:rsidR="00901270" w:rsidRPr="00A777A8" w:rsidRDefault="00901270" w:rsidP="007366A6">
                  <w:pPr>
                    <w:jc w:val="center"/>
                    <w:rPr>
                      <w:b/>
                    </w:rPr>
                  </w:pPr>
                  <w:r w:rsidRPr="00A777A8">
                    <w:rPr>
                      <w:b/>
                    </w:rPr>
                    <w:t>Rad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Initial Rad Onset &gt; 0.03 mrem/hr</w:t>
                  </w:r>
                </w:p>
              </w:tc>
              <w:tc>
                <w:tcPr>
                  <w:tcW w:w="3420" w:type="dxa"/>
                </w:tcPr>
                <w:p w:rsidR="00901270" w:rsidRDefault="00901270" w:rsidP="007366A6">
                  <w:r>
                    <w:t>[[</w:t>
                  </w:r>
                  <w:r w:rsidR="0040329D">
                    <w:t>V</w:t>
                  </w:r>
                  <w:r>
                    <w:t>RadInit]] &lt;&lt;SCINOT&gt;&gt;</w:t>
                  </w:r>
                </w:p>
                <w:p w:rsidR="00CC2582" w:rsidRDefault="00CC2582" w:rsidP="007366A6">
                  <w:r>
                    <w:t>[[InitFEFree]] &lt;&lt;CHECKBOX&gt;&gt;</w:t>
                  </w:r>
                </w:p>
                <w:p w:rsidR="00CC2582" w:rsidRPr="00D97B1C" w:rsidRDefault="00CC2582" w:rsidP="0040329D">
                  <w:r>
                    <w:lastRenderedPageBreak/>
                    <w:t xml:space="preserve">[[If FEFree checked, make </w:t>
                  </w:r>
                  <w:r w:rsidR="0040329D">
                    <w:t>V</w:t>
                  </w:r>
                  <w:r>
                    <w:t>Rad 0]] &lt;&lt;NOTE&gt;&gt;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lastRenderedPageBreak/>
                    <w:t>[[QoRadInit]]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:rsidR="00901270" w:rsidRPr="00D97B1C" w:rsidRDefault="00901270" w:rsidP="007366A6">
                  <w:r>
                    <w:t>&gt; 0.03mrem/hr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Final Rad Onset = 0.03 mrem/hr</w:t>
                  </w:r>
                </w:p>
              </w:tc>
              <w:tc>
                <w:tcPr>
                  <w:tcW w:w="3420" w:type="dxa"/>
                </w:tcPr>
                <w:p w:rsidR="00901270" w:rsidRDefault="00901270" w:rsidP="007366A6">
                  <w:r>
                    <w:t>[[</w:t>
                  </w:r>
                  <w:r w:rsidR="0040329D">
                    <w:t>V</w:t>
                  </w:r>
                  <w:r>
                    <w:t>RadFinal]] &lt;&lt;SCINOT&gt;&gt;</w:t>
                  </w:r>
                </w:p>
                <w:p w:rsidR="00CC2582" w:rsidRDefault="00CC2582" w:rsidP="00CC2582">
                  <w:r>
                    <w:t>[[FinalFEFree]] &lt;&lt;CHECKBOX&gt;&gt;</w:t>
                  </w:r>
                </w:p>
                <w:p w:rsidR="00CC2582" w:rsidRPr="00D97B1C" w:rsidRDefault="00CC2582" w:rsidP="0040329D">
                  <w:r>
                    <w:t xml:space="preserve">[[If FEFree checked, make </w:t>
                  </w:r>
                  <w:r w:rsidR="0040329D">
                    <w:t>V</w:t>
                  </w:r>
                  <w:r>
                    <w:t>Rad 0]] &lt;&lt;NOTE&gt;&gt;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[[QoRadFinal]] &lt;&lt;SCINOT&gt;&gt;</w:t>
                  </w:r>
                </w:p>
              </w:tc>
              <w:tc>
                <w:tcPr>
                  <w:tcW w:w="4255" w:type="dxa"/>
                  <w:shd w:val="clear" w:color="auto" w:fill="EAF1DD" w:themeFill="accent3" w:themeFillTint="33"/>
                </w:tcPr>
                <w:p w:rsidR="00901270" w:rsidRPr="00D97B1C" w:rsidRDefault="00901270" w:rsidP="007366A6">
                  <w:r>
                    <w:t>= 0.03 mrem/hr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Benchmark Field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40329D">
                  <w:r>
                    <w:t>[[</w:t>
                  </w:r>
                  <w:r w:rsidR="0040329D">
                    <w:t>V</w:t>
                  </w:r>
                  <w:r>
                    <w:t>Benchmark]] &lt;&lt;SCINOT&gt;&gt;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[[QoBenchmark]] &lt;&lt;SCINOT&gt;&gt;</w:t>
                  </w:r>
                </w:p>
              </w:tc>
              <w:tc>
                <w:tcPr>
                  <w:tcW w:w="4255" w:type="dxa"/>
                </w:tcPr>
                <w:p w:rsidR="00901270" w:rsidRPr="00D97B1C" w:rsidRDefault="00901270" w:rsidP="007366A6">
                  <w:r>
                    <w:t>[[RadBenchmark]] &lt;&lt;SCINOT&gt;&gt; mrem/hr</w:t>
                  </w:r>
                </w:p>
              </w:tc>
            </w:tr>
            <w:tr w:rsidR="00901270" w:rsidRPr="00D97B1C" w:rsidTr="007E720D">
              <w:trPr>
                <w:trHeight w:val="288"/>
              </w:trPr>
              <w:tc>
                <w:tcPr>
                  <w:tcW w:w="2095" w:type="dxa"/>
                  <w:shd w:val="clear" w:color="auto" w:fill="EAF1DD" w:themeFill="accent3" w:themeFillTint="33"/>
                </w:tcPr>
                <w:p w:rsidR="00901270" w:rsidRPr="009D6B65" w:rsidRDefault="00901270" w:rsidP="007366A6">
                  <w:pPr>
                    <w:rPr>
                      <w:b/>
                      <w:sz w:val="20"/>
                    </w:rPr>
                  </w:pPr>
                  <w:r w:rsidRPr="009D6B65">
                    <w:rPr>
                      <w:b/>
                      <w:sz w:val="20"/>
                    </w:rPr>
                    <w:t>MAX Field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40329D">
                  <w:r>
                    <w:t>[[</w:t>
                  </w:r>
                  <w:r w:rsidR="0040329D">
                    <w:t>V</w:t>
                  </w:r>
                  <w:r>
                    <w:t>Max]] &lt;&lt;SCINOT&gt;&gt;</w:t>
                  </w:r>
                </w:p>
              </w:tc>
              <w:tc>
                <w:tcPr>
                  <w:tcW w:w="3420" w:type="dxa"/>
                </w:tcPr>
                <w:p w:rsidR="00901270" w:rsidRPr="00D97B1C" w:rsidRDefault="00901270" w:rsidP="007366A6">
                  <w:r>
                    <w:t>[[QoMax]] &lt;&lt;SCINOT&gt;&gt;</w:t>
                  </w:r>
                </w:p>
              </w:tc>
              <w:tc>
                <w:tcPr>
                  <w:tcW w:w="4255" w:type="dxa"/>
                </w:tcPr>
                <w:p w:rsidR="00901270" w:rsidRPr="00D97B1C" w:rsidRDefault="00901270" w:rsidP="007366A6">
                  <w:r>
                    <w:t>[[RadMax]] &lt;&lt;SCINOT&gt;&gt; mrem/hr</w:t>
                  </w:r>
                </w:p>
              </w:tc>
            </w:tr>
          </w:tbl>
          <w:p w:rsidR="00901270" w:rsidRPr="00CE6F27" w:rsidRDefault="00901270" w:rsidP="00CE6F27"/>
        </w:tc>
      </w:tr>
      <w:tr w:rsidR="00901270" w:rsidRPr="00D97B1C" w:rsidTr="00D7756F">
        <w:trPr>
          <w:cantSplit/>
          <w:trHeight w:val="960"/>
        </w:trPr>
        <w:tc>
          <w:tcPr>
            <w:tcW w:w="2356" w:type="dxa"/>
            <w:tcBorders>
              <w:bottom w:val="single" w:sz="12" w:space="0" w:color="auto"/>
            </w:tcBorders>
          </w:tcPr>
          <w:p w:rsidR="00901270" w:rsidRPr="00CE6F27" w:rsidRDefault="00901270" w:rsidP="00CE6F27">
            <w:r w:rsidRPr="00CE6F27">
              <w:lastRenderedPageBreak/>
              <w:t>[[</w:t>
            </w:r>
            <w:r>
              <w:t>Primary</w:t>
            </w:r>
            <w:r w:rsidRPr="00CE6F27">
              <w:t>Frequency]] &lt;&lt;FLOAT&gt;&gt;</w:t>
            </w:r>
          </w:p>
        </w:tc>
        <w:tc>
          <w:tcPr>
            <w:tcW w:w="10834" w:type="dxa"/>
            <w:gridSpan w:val="6"/>
            <w:vMerge/>
            <w:tcBorders>
              <w:bottom w:val="single" w:sz="12" w:space="0" w:color="auto"/>
            </w:tcBorders>
          </w:tcPr>
          <w:p w:rsidR="00901270" w:rsidRPr="00CE6F27" w:rsidRDefault="00901270" w:rsidP="00CE6F27"/>
        </w:tc>
      </w:tr>
      <w:tr w:rsidR="00901270" w:rsidRPr="00D97B1C" w:rsidTr="00947ECF">
        <w:trPr>
          <w:cantSplit/>
          <w:trHeight w:val="267"/>
        </w:trPr>
        <w:tc>
          <w:tcPr>
            <w:tcW w:w="1319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901270" w:rsidRPr="00A67D99" w:rsidRDefault="00901270" w:rsidP="00E06D6E">
            <w:pPr>
              <w:rPr>
                <w:b/>
              </w:rPr>
            </w:pPr>
            <w:r w:rsidRPr="00A67D99">
              <w:rPr>
                <w:b/>
              </w:rPr>
              <w:t>RESULTS</w:t>
            </w:r>
          </w:p>
        </w:tc>
      </w:tr>
      <w:tr w:rsidR="00901270" w:rsidRPr="00D97B1C" w:rsidTr="00D7756F">
        <w:trPr>
          <w:cantSplit/>
          <w:trHeight w:val="690"/>
        </w:trPr>
        <w:tc>
          <w:tcPr>
            <w:tcW w:w="685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Default="00901270" w:rsidP="00E06D6E">
            <w:r w:rsidRPr="00C26819">
              <w:rPr>
                <w:b/>
                <w:u w:val="single"/>
              </w:rPr>
              <w:t>Manual Testing Data File</w:t>
            </w:r>
            <w:r w:rsidR="00C26819">
              <w:rPr>
                <w:b/>
                <w:u w:val="single"/>
              </w:rPr>
              <w:t>s</w:t>
            </w:r>
            <w:r w:rsidRPr="00AD4EBB">
              <w:rPr>
                <w:b/>
              </w:rPr>
              <w:t>:</w:t>
            </w:r>
            <w:r>
              <w:t xml:space="preserve"> </w:t>
            </w:r>
          </w:p>
          <w:p w:rsidR="00901270" w:rsidRDefault="00901270" w:rsidP="00E06D6E">
            <w:r>
              <w:t>[[ManualSpreadsheet]] &lt;&lt;FILEUPLOAD&gt;&gt;</w:t>
            </w:r>
          </w:p>
        </w:tc>
        <w:tc>
          <w:tcPr>
            <w:tcW w:w="6335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0329D" w:rsidRDefault="0040329D" w:rsidP="00E06D6E">
            <w:r>
              <w:t>[[LorentzCoeff]] &lt;&lt;FLOAT&gt;&gt;</w:t>
            </w:r>
          </w:p>
          <w:p w:rsidR="00901270" w:rsidRDefault="00901270" w:rsidP="00E06D6E">
            <w:r>
              <w:t>[[ResultsComment]] &lt;&lt;COMMENT&gt;&gt;</w:t>
            </w:r>
          </w:p>
        </w:tc>
      </w:tr>
      <w:tr w:rsidR="00901270" w:rsidRPr="00D97B1C" w:rsidTr="00D7756F">
        <w:trPr>
          <w:cantSplit/>
          <w:trHeight w:val="144"/>
        </w:trPr>
        <w:tc>
          <w:tcPr>
            <w:tcW w:w="68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Default="00901270" w:rsidP="00AD4EBB">
            <w:pPr>
              <w:rPr>
                <w:b/>
              </w:rPr>
            </w:pPr>
            <w:r w:rsidRPr="00C26819">
              <w:rPr>
                <w:b/>
                <w:u w:val="single"/>
              </w:rPr>
              <w:t>Automated Testing Data Files</w:t>
            </w:r>
            <w:r w:rsidRPr="00AD4EBB">
              <w:rPr>
                <w:b/>
              </w:rPr>
              <w:t>:</w:t>
            </w:r>
          </w:p>
          <w:p w:rsidR="00901270" w:rsidRDefault="00901270" w:rsidP="004D4385">
            <w:r>
              <w:t>[[RawDataFile]] &lt;&lt;FILEUPLOAD&gt;&gt;</w:t>
            </w:r>
          </w:p>
          <w:p w:rsidR="00901270" w:rsidRPr="00AD4EBB" w:rsidRDefault="00901270" w:rsidP="004D4385">
            <w:pPr>
              <w:rPr>
                <w:b/>
              </w:rPr>
            </w:pPr>
            <w:r>
              <w:t>[[ProcessedSpreadsheet]] &lt;&lt;FILEUPLOAD&gt;&gt;</w:t>
            </w:r>
          </w:p>
        </w:tc>
        <w:tc>
          <w:tcPr>
            <w:tcW w:w="633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Pr="00CE6F27" w:rsidRDefault="00901270" w:rsidP="00CE6F27"/>
        </w:tc>
      </w:tr>
      <w:tr w:rsidR="00901270" w:rsidRPr="00D97B1C" w:rsidTr="00947ECF">
        <w:trPr>
          <w:cantSplit/>
          <w:trHeight w:val="144"/>
        </w:trPr>
        <w:tc>
          <w:tcPr>
            <w:tcW w:w="1319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1270" w:rsidRDefault="00901270" w:rsidP="004962E9">
            <w:pPr>
              <w:tabs>
                <w:tab w:val="left" w:pos="1515"/>
              </w:tabs>
            </w:pPr>
            <w:r>
              <w:rPr>
                <w:b/>
              </w:rPr>
              <w:t>Graphs:</w:t>
            </w:r>
            <w:r w:rsidR="004962E9">
              <w:rPr>
                <w:b/>
              </w:rPr>
              <w:tab/>
            </w:r>
          </w:p>
        </w:tc>
      </w:tr>
      <w:tr w:rsidR="00901270" w:rsidRPr="00D97B1C" w:rsidTr="00D7756F">
        <w:trPr>
          <w:cantSplit/>
          <w:trHeight w:val="144"/>
        </w:trPr>
        <w:tc>
          <w:tcPr>
            <w:tcW w:w="381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[[QvsE]] &lt;&lt;FILEUPLOAD&gt;&gt;</w:t>
            </w:r>
          </w:p>
        </w:tc>
        <w:tc>
          <w:tcPr>
            <w:tcW w:w="30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[[FvsE2]] &lt;&lt;FILEUPLOAD&gt;&gt;</w:t>
            </w:r>
          </w:p>
        </w:tc>
        <w:tc>
          <w:tcPr>
            <w:tcW w:w="303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[[RADvsE]] &lt;&lt;FILEUPLOAD&gt;&gt;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01270" w:rsidRPr="00CE6F27" w:rsidRDefault="00901270" w:rsidP="00CE6F27">
            <w:r>
              <w:t>[[OtherFiles]] &lt;&lt;FILEUPLOAD&gt;&gt;</w:t>
            </w:r>
          </w:p>
        </w:tc>
      </w:tr>
    </w:tbl>
    <w:p w:rsidR="000C62A6" w:rsidRDefault="000C62A6" w:rsidP="00D97B1C"/>
    <w:p w:rsidR="000C62A6" w:rsidRPr="00D97B1C" w:rsidRDefault="000C62A6" w:rsidP="001F005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945"/>
        <w:gridCol w:w="6181"/>
        <w:gridCol w:w="64"/>
      </w:tblGrid>
      <w:tr w:rsidR="009D6B65" w:rsidRPr="00D97B1C" w:rsidTr="00683C6B">
        <w:trPr>
          <w:cantSplit/>
          <w:trHeight w:val="288"/>
        </w:trPr>
        <w:tc>
          <w:tcPr>
            <w:tcW w:w="13190" w:type="dxa"/>
            <w:gridSpan w:val="3"/>
            <w:shd w:val="clear" w:color="auto" w:fill="EAF1DD" w:themeFill="accent3" w:themeFillTint="33"/>
          </w:tcPr>
          <w:p w:rsidR="009D6B65" w:rsidRPr="00B2253B" w:rsidRDefault="009D6B65" w:rsidP="00D13229">
            <w:pPr>
              <w:rPr>
                <w:szCs w:val="22"/>
              </w:rPr>
            </w:pPr>
            <w:r>
              <w:rPr>
                <w:b/>
              </w:rPr>
              <w:lastRenderedPageBreak/>
              <w:t>TEST</w:t>
            </w:r>
            <w:r>
              <w:rPr>
                <w:rStyle w:val="BookTitle"/>
                <w:caps/>
                <w:smallCaps w:val="0"/>
              </w:rPr>
              <w:t xml:space="preserve"> plan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  <w:shd w:val="clear" w:color="auto" w:fill="auto"/>
          </w:tcPr>
          <w:p w:rsidR="001F0052" w:rsidRPr="009D6B65" w:rsidRDefault="001F0052" w:rsidP="00BB169E">
            <w:pPr>
              <w:rPr>
                <w:rStyle w:val="BookTitle"/>
                <w:b w:val="0"/>
                <w:caps/>
                <w:smallCaps w:val="0"/>
              </w:rPr>
            </w:pPr>
            <w:r w:rsidRPr="009D6B65">
              <w:rPr>
                <w:rStyle w:val="BookTitle"/>
                <w:b w:val="0"/>
                <w:caps/>
                <w:smallCaps w:val="0"/>
              </w:rPr>
              <w:t xml:space="preserve">Upload Test Plan 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F0052" w:rsidRPr="00B2253B" w:rsidRDefault="001F0052" w:rsidP="00D13229">
            <w:pPr>
              <w:rPr>
                <w:szCs w:val="22"/>
              </w:rPr>
            </w:pPr>
            <w:r w:rsidRPr="00B2253B">
              <w:rPr>
                <w:szCs w:val="22"/>
              </w:rPr>
              <w:t>[[</w:t>
            </w:r>
            <w:r w:rsidRPr="00A22CD8">
              <w:t>TestPlan]] &lt;&lt;FILEUPLOAD&gt;&gt;</w:t>
            </w:r>
          </w:p>
        </w:tc>
      </w:tr>
      <w:tr w:rsidR="009D6B65" w:rsidRPr="00D97B1C" w:rsidTr="00683C6B">
        <w:trPr>
          <w:cantSplit/>
          <w:trHeight w:val="288"/>
        </w:trPr>
        <w:tc>
          <w:tcPr>
            <w:tcW w:w="13190" w:type="dxa"/>
            <w:gridSpan w:val="3"/>
            <w:shd w:val="clear" w:color="auto" w:fill="EAF1DD" w:themeFill="accent3" w:themeFillTint="33"/>
          </w:tcPr>
          <w:p w:rsidR="009D6B65" w:rsidRPr="00E8666F" w:rsidRDefault="00165C8E" w:rsidP="00D13229">
            <w:pPr>
              <w:rPr>
                <w:szCs w:val="22"/>
              </w:rPr>
            </w:pPr>
            <w:r>
              <w:rPr>
                <w:rStyle w:val="BookTitle"/>
                <w:caps/>
                <w:smallCaps w:val="0"/>
              </w:rPr>
              <w:t>TREATMENTS</w:t>
            </w:r>
            <w:r w:rsidR="009D6B65" w:rsidRPr="00E8666F">
              <w:rPr>
                <w:rStyle w:val="BookTitle"/>
                <w:caps/>
                <w:smallCaps w:val="0"/>
              </w:rPr>
              <w:t xml:space="preserve"> INFO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</w:tcPr>
          <w:p w:rsidR="006455EE" w:rsidRDefault="001F0052" w:rsidP="00165C8E">
            <w:pPr>
              <w:rPr>
                <w:szCs w:val="22"/>
              </w:rPr>
            </w:pPr>
            <w:r w:rsidRPr="00002697">
              <w:rPr>
                <w:szCs w:val="22"/>
              </w:rPr>
              <w:t xml:space="preserve">Has the cavity or component been </w:t>
            </w:r>
            <w:r w:rsidR="00165C8E">
              <w:rPr>
                <w:szCs w:val="22"/>
              </w:rPr>
              <w:t>treated</w:t>
            </w:r>
            <w:r w:rsidRPr="00002697">
              <w:rPr>
                <w:szCs w:val="22"/>
              </w:rPr>
              <w:t>? If so, indicate</w:t>
            </w:r>
            <w:r w:rsidR="00165C8E">
              <w:rPr>
                <w:szCs w:val="22"/>
              </w:rPr>
              <w:t xml:space="preserve"> type(s) of treatment and if baked, add</w:t>
            </w:r>
            <w:r w:rsidRPr="00002697">
              <w:rPr>
                <w:szCs w:val="22"/>
              </w:rPr>
              <w:t xml:space="preserve"> </w:t>
            </w:r>
            <w:r w:rsidR="00165C8E">
              <w:rPr>
                <w:szCs w:val="22"/>
              </w:rPr>
              <w:t>baking temperature and duration</w:t>
            </w:r>
            <w:r w:rsidR="006455EE">
              <w:rPr>
                <w:szCs w:val="22"/>
              </w:rPr>
              <w:t>. Indicated any additional information about treatments in the comment box below.</w:t>
            </w:r>
          </w:p>
          <w:p w:rsidR="0023485A" w:rsidRDefault="0023485A" w:rsidP="00165C8E"/>
          <w:p w:rsidR="001F0052" w:rsidRPr="00002697" w:rsidRDefault="006455EE" w:rsidP="00165C8E">
            <w:pPr>
              <w:rPr>
                <w:szCs w:val="22"/>
              </w:rPr>
            </w:pPr>
            <w:r w:rsidRPr="00A22CD8">
              <w:t>[[</w:t>
            </w:r>
            <w:r>
              <w:t>Treatment</w:t>
            </w:r>
            <w:r w:rsidRPr="00A22CD8">
              <w:t>Comment]] &lt;&lt;COMMENT&gt;&gt;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65C8E" w:rsidRDefault="00165C8E" w:rsidP="00A22CD8">
            <w:r w:rsidRPr="00A22CD8">
              <w:t>[[</w:t>
            </w:r>
            <w:r>
              <w:t>BCP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Default="00165C8E" w:rsidP="00A22CD8">
            <w:r w:rsidRPr="00A22CD8">
              <w:t>[[</w:t>
            </w:r>
            <w:r>
              <w:t>HEP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Default="00165C8E" w:rsidP="00A22CD8">
            <w:r w:rsidRPr="00A22CD8">
              <w:t>[[</w:t>
            </w:r>
            <w:r>
              <w:t>VEP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Default="00165C8E" w:rsidP="00165C8E">
            <w:r w:rsidRPr="00A22CD8">
              <w:t>[[</w:t>
            </w:r>
            <w:r>
              <w:t>HT</w:t>
            </w:r>
            <w:r w:rsidRPr="00A22CD8">
              <w:t xml:space="preserve">]] </w:t>
            </w:r>
            <w:r w:rsidR="006455EE">
              <w:t>&lt;&lt;CHECKBOX&gt;&gt;</w:t>
            </w:r>
          </w:p>
          <w:p w:rsidR="00165C8E" w:rsidRPr="00A22CD8" w:rsidRDefault="00165C8E" w:rsidP="00A22CD8">
            <w:r w:rsidRPr="00A22CD8">
              <w:t xml:space="preserve">[[Baked]] </w:t>
            </w:r>
            <w:r w:rsidR="006455EE">
              <w:t>&lt;&lt;CHECKBOX&gt;&gt;</w:t>
            </w:r>
          </w:p>
          <w:p w:rsidR="001F0052" w:rsidRDefault="001F0052" w:rsidP="00A22CD8">
            <w:r w:rsidRPr="00A22CD8">
              <w:t>[[BakeTemp]] &lt;&lt;FLOAT&gt;&gt;</w:t>
            </w:r>
          </w:p>
          <w:p w:rsidR="001F0052" w:rsidRPr="00B2253B" w:rsidRDefault="00165C8E" w:rsidP="00165C8E">
            <w:r w:rsidRPr="00A22CD8">
              <w:t>[[Bake</w:t>
            </w:r>
            <w:r>
              <w:t>Duration</w:t>
            </w:r>
            <w:r w:rsidRPr="00A22CD8">
              <w:t>]] &lt;&lt;</w:t>
            </w:r>
            <w:r>
              <w:t>TEXT</w:t>
            </w:r>
            <w:r w:rsidRPr="00A22CD8">
              <w:t>&gt;&gt;</w:t>
            </w:r>
          </w:p>
        </w:tc>
      </w:tr>
      <w:tr w:rsidR="009D6B65" w:rsidRPr="00D97B1C" w:rsidTr="00683C6B">
        <w:trPr>
          <w:cantSplit/>
          <w:trHeight w:val="288"/>
        </w:trPr>
        <w:tc>
          <w:tcPr>
            <w:tcW w:w="13190" w:type="dxa"/>
            <w:gridSpan w:val="3"/>
            <w:shd w:val="clear" w:color="auto" w:fill="EAF1DD" w:themeFill="accent3" w:themeFillTint="33"/>
          </w:tcPr>
          <w:p w:rsidR="009D6B65" w:rsidRPr="00E8666F" w:rsidRDefault="009D6B65" w:rsidP="001F0052">
            <w:pPr>
              <w:rPr>
                <w:szCs w:val="22"/>
              </w:rPr>
            </w:pPr>
            <w:r w:rsidRPr="00E8666F">
              <w:rPr>
                <w:rStyle w:val="BookTitle"/>
                <w:caps/>
                <w:smallCaps w:val="0"/>
              </w:rPr>
              <w:t>TEST CONDITIONS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</w:tcPr>
          <w:p w:rsidR="001F0052" w:rsidRPr="00002697" w:rsidRDefault="001F0052" w:rsidP="00D13229">
            <w:pPr>
              <w:rPr>
                <w:color w:val="000000" w:themeColor="text1"/>
                <w:szCs w:val="22"/>
              </w:rPr>
            </w:pPr>
            <w:r w:rsidRPr="00002697">
              <w:rPr>
                <w:szCs w:val="22"/>
              </w:rPr>
              <w:t>Record cavity vacuum pressure, if so instrumented.</w:t>
            </w:r>
            <w:r w:rsidRPr="00002697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F0052" w:rsidRPr="00A22CD8" w:rsidRDefault="001F0052" w:rsidP="00A22CD8">
            <w:r w:rsidRPr="00A22CD8">
              <w:t>[[CavityVacuum]] &lt;&lt;SCINOT&gt;&gt;  (mbar)</w:t>
            </w:r>
          </w:p>
          <w:p w:rsidR="001F0052" w:rsidRPr="00A22CD8" w:rsidRDefault="001F0052" w:rsidP="00A22CD8">
            <w:r w:rsidRPr="00A22CD8">
              <w:t>[[CavityVacuumComment]] &lt;&lt;COMMENT&gt;&gt;</w:t>
            </w:r>
          </w:p>
        </w:tc>
      </w:tr>
      <w:tr w:rsidR="001F0052" w:rsidRPr="00D97B1C" w:rsidTr="00683C6B">
        <w:trPr>
          <w:cantSplit/>
          <w:trHeight w:val="288"/>
        </w:trPr>
        <w:tc>
          <w:tcPr>
            <w:tcW w:w="6945" w:type="dxa"/>
          </w:tcPr>
          <w:p w:rsidR="001F0052" w:rsidRPr="00002697" w:rsidRDefault="001F0052" w:rsidP="00D13229">
            <w:pPr>
              <w:rPr>
                <w:szCs w:val="22"/>
              </w:rPr>
            </w:pPr>
            <w:r w:rsidRPr="00002697">
              <w:rPr>
                <w:szCs w:val="22"/>
              </w:rPr>
              <w:t xml:space="preserve">Record Dewar helium bath liquid level and baratron pressure. </w:t>
            </w:r>
          </w:p>
        </w:tc>
        <w:tc>
          <w:tcPr>
            <w:tcW w:w="6245" w:type="dxa"/>
            <w:gridSpan w:val="2"/>
            <w:shd w:val="clear" w:color="auto" w:fill="auto"/>
            <w:noWrap/>
          </w:tcPr>
          <w:p w:rsidR="001F0052" w:rsidRPr="00A22CD8" w:rsidRDefault="001F0052" w:rsidP="00A22CD8">
            <w:r w:rsidRPr="00A22CD8">
              <w:t>[[DewarLHeLevelcm]] &lt;&lt;FLOAT&gt;&gt;(cm)</w:t>
            </w:r>
          </w:p>
          <w:p w:rsidR="001F0052" w:rsidRPr="00A22CD8" w:rsidRDefault="001F0052" w:rsidP="00A22CD8">
            <w:r w:rsidRPr="00A22CD8">
              <w:t>[[DewarPressureTorr]] &lt;&lt;FLOAT&gt;&gt;(Torr)</w:t>
            </w:r>
          </w:p>
        </w:tc>
      </w:tr>
      <w:tr w:rsidR="009D6B65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13126" w:type="dxa"/>
            <w:gridSpan w:val="2"/>
            <w:shd w:val="clear" w:color="auto" w:fill="EAF1DD" w:themeFill="accent3" w:themeFillTint="33"/>
          </w:tcPr>
          <w:p w:rsidR="009D6B65" w:rsidRPr="00E8666F" w:rsidRDefault="009D6B65" w:rsidP="00D13229">
            <w:pPr>
              <w:rPr>
                <w:szCs w:val="22"/>
              </w:rPr>
            </w:pPr>
            <w:r w:rsidRPr="00E8666F">
              <w:rPr>
                <w:rStyle w:val="BookTitle"/>
                <w:caps/>
                <w:smallCaps w:val="0"/>
              </w:rPr>
              <w:t>DECAY MEASUREMENTS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</w:tcPr>
          <w:p w:rsidR="001F0052" w:rsidRDefault="001F0052" w:rsidP="00D13229">
            <w:pPr>
              <w:rPr>
                <w:szCs w:val="22"/>
              </w:rPr>
            </w:pPr>
            <w:r>
              <w:rPr>
                <w:szCs w:val="22"/>
              </w:rPr>
              <w:t>For the Qext2 chosen to be used in the LabVIEW program, r</w:t>
            </w:r>
            <w:r w:rsidRPr="00B22D39">
              <w:rPr>
                <w:szCs w:val="22"/>
              </w:rPr>
              <w:t xml:space="preserve">ecord </w:t>
            </w:r>
            <w:r>
              <w:rPr>
                <w:szCs w:val="22"/>
              </w:rPr>
              <w:t xml:space="preserve">the results from cavity decay measurments: </w:t>
            </w:r>
            <w:r w:rsidRPr="00B22D39">
              <w:rPr>
                <w:szCs w:val="22"/>
              </w:rPr>
              <w:t xml:space="preserve">Eacc, Qo, Qext2, Qext1, %error, </w:t>
            </w:r>
            <w:r>
              <w:rPr>
                <w:szCs w:val="22"/>
              </w:rPr>
              <w:t xml:space="preserve">radiation, </w:t>
            </w:r>
            <w:r w:rsidRPr="00B22D39">
              <w:rPr>
                <w:szCs w:val="22"/>
              </w:rPr>
              <w:t>QextHOMa</w:t>
            </w:r>
            <w:r w:rsidRPr="00B22D39">
              <w:rPr>
                <w:b/>
                <w:szCs w:val="22"/>
              </w:rPr>
              <w:t xml:space="preserve"> </w:t>
            </w:r>
            <w:r w:rsidRPr="00B22D39">
              <w:rPr>
                <w:b/>
                <w:szCs w:val="22"/>
                <w:vertAlign w:val="subscript"/>
              </w:rPr>
              <w:t xml:space="preserve"> </w:t>
            </w:r>
            <w:r w:rsidRPr="00B22D39">
              <w:rPr>
                <w:szCs w:val="22"/>
              </w:rPr>
              <w:t xml:space="preserve">and QextHOMb. </w:t>
            </w:r>
          </w:p>
          <w:p w:rsidR="001F0052" w:rsidRDefault="001F0052" w:rsidP="00D13229">
            <w:pPr>
              <w:rPr>
                <w:szCs w:val="22"/>
              </w:rPr>
            </w:pPr>
            <w:r w:rsidRPr="00B22D39">
              <w:rPr>
                <w:szCs w:val="22"/>
              </w:rPr>
              <w:t>Typical values during decay measurements for:</w:t>
            </w:r>
          </w:p>
        </w:tc>
        <w:tc>
          <w:tcPr>
            <w:tcW w:w="6181" w:type="dxa"/>
            <w:shd w:val="clear" w:color="auto" w:fill="auto"/>
          </w:tcPr>
          <w:p w:rsidR="001F0052" w:rsidRPr="00A22CD8" w:rsidRDefault="001F0052" w:rsidP="00A22CD8"/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246987">
            <w:pPr>
              <w:rPr>
                <w:szCs w:val="22"/>
              </w:rPr>
            </w:pPr>
            <w:r w:rsidRPr="00602104">
              <w:rPr>
                <w:szCs w:val="22"/>
              </w:rPr>
              <w:t>Eacc (MV/m)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 xml:space="preserve">[[Eacc]] &lt;&lt;FLOAT&gt;&gt; (MV/m) 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C22146">
            <w:pPr>
              <w:rPr>
                <w:szCs w:val="22"/>
              </w:rPr>
            </w:pPr>
            <w:r w:rsidRPr="00602104">
              <w:rPr>
                <w:szCs w:val="22"/>
              </w:rPr>
              <w:t>Qo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[[Qo]]&lt;&lt;SCINOT&gt;&gt;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0E0F64">
            <w:pPr>
              <w:rPr>
                <w:szCs w:val="22"/>
              </w:rPr>
            </w:pPr>
            <w:r w:rsidRPr="00602104">
              <w:rPr>
                <w:szCs w:val="22"/>
              </w:rPr>
              <w:t>Qext1 (input coupler)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[[Qext1]]&lt;&lt;SCINOT&gt;&gt;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C22146">
            <w:pPr>
              <w:rPr>
                <w:szCs w:val="22"/>
              </w:rPr>
            </w:pPr>
            <w:r w:rsidRPr="00602104">
              <w:rPr>
                <w:szCs w:val="22"/>
              </w:rPr>
              <w:t>QextFP (field probe)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[[Qextfp]]&lt;&lt;SCINOT&gt;&gt;</w:t>
            </w:r>
          </w:p>
        </w:tc>
      </w:tr>
      <w:tr w:rsidR="001F0052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1F0052" w:rsidRPr="00602104" w:rsidRDefault="001F0052" w:rsidP="00C22146">
            <w:pPr>
              <w:rPr>
                <w:szCs w:val="22"/>
              </w:rPr>
            </w:pPr>
            <w:r w:rsidRPr="00602104">
              <w:rPr>
                <w:szCs w:val="22"/>
              </w:rPr>
              <w:t>%error</w:t>
            </w:r>
          </w:p>
        </w:tc>
        <w:tc>
          <w:tcPr>
            <w:tcW w:w="6181" w:type="dxa"/>
            <w:shd w:val="clear" w:color="auto" w:fill="auto"/>
            <w:noWrap/>
          </w:tcPr>
          <w:p w:rsidR="001F0052" w:rsidRPr="00A22CD8" w:rsidRDefault="001F0052" w:rsidP="00A22CD8">
            <w:r w:rsidRPr="00A22CD8">
              <w:t>[[Qextfperror]]&lt;&lt;FLOAT&gt;&gt; (%)</w:t>
            </w:r>
          </w:p>
        </w:tc>
      </w:tr>
      <w:tr w:rsidR="0040329D" w:rsidRPr="00B2253B" w:rsidTr="00683C6B">
        <w:tblPrEx>
          <w:tblCellMar>
            <w:left w:w="86" w:type="dxa"/>
            <w:right w:w="86" w:type="dxa"/>
          </w:tblCellMar>
        </w:tblPrEx>
        <w:trPr>
          <w:gridAfter w:val="1"/>
          <w:wAfter w:w="64" w:type="dxa"/>
          <w:cantSplit/>
          <w:trHeight w:val="144"/>
        </w:trPr>
        <w:tc>
          <w:tcPr>
            <w:tcW w:w="6945" w:type="dxa"/>
            <w:shd w:val="clear" w:color="auto" w:fill="EAF1DD" w:themeFill="accent3" w:themeFillTint="33"/>
          </w:tcPr>
          <w:p w:rsidR="0040329D" w:rsidRPr="00602104" w:rsidRDefault="0040329D" w:rsidP="00C22146">
            <w:pPr>
              <w:rPr>
                <w:szCs w:val="22"/>
              </w:rPr>
            </w:pPr>
            <w:r>
              <w:rPr>
                <w:szCs w:val="22"/>
              </w:rPr>
              <w:t>Q HOM</w:t>
            </w:r>
          </w:p>
        </w:tc>
        <w:tc>
          <w:tcPr>
            <w:tcW w:w="6181" w:type="dxa"/>
            <w:shd w:val="clear" w:color="auto" w:fill="auto"/>
            <w:noWrap/>
          </w:tcPr>
          <w:p w:rsidR="0040329D" w:rsidRPr="00A22CD8" w:rsidRDefault="0040329D" w:rsidP="00A22CD8">
            <w:r>
              <w:t>[[QHOM]] &lt;&lt;SCINOT&gt;&gt;</w:t>
            </w:r>
          </w:p>
        </w:tc>
      </w:tr>
    </w:tbl>
    <w:p w:rsidR="00374E71" w:rsidRDefault="00791D74" w:rsidP="00374E71">
      <w:pPr>
        <w:spacing w:after="200" w:line="276" w:lineRule="auto"/>
      </w:pPr>
      <w:bookmarkStart w:id="0" w:name="_GoBack"/>
      <w:bookmarkEnd w:id="0"/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52"/>
        <w:gridCol w:w="617"/>
        <w:gridCol w:w="502"/>
        <w:gridCol w:w="571"/>
        <w:gridCol w:w="7948"/>
      </w:tblGrid>
      <w:tr w:rsidR="009D6B65" w:rsidRPr="00D97B1C" w:rsidTr="00FD5081">
        <w:trPr>
          <w:cantSplit/>
          <w:trHeight w:val="288"/>
        </w:trPr>
        <w:tc>
          <w:tcPr>
            <w:tcW w:w="18573" w:type="dxa"/>
            <w:gridSpan w:val="5"/>
            <w:shd w:val="clear" w:color="auto" w:fill="EAF1DD" w:themeFill="accent3" w:themeFillTint="33"/>
          </w:tcPr>
          <w:p w:rsidR="009D6B65" w:rsidRPr="00E8666F" w:rsidRDefault="009D6B65" w:rsidP="00D13229">
            <w:pPr>
              <w:rPr>
                <w:b/>
                <w:bCs/>
                <w:caps/>
                <w:spacing w:val="5"/>
              </w:rPr>
            </w:pPr>
            <w:r w:rsidRPr="00E8666F">
              <w:rPr>
                <w:rStyle w:val="BookTitle"/>
                <w:caps/>
                <w:smallCaps w:val="0"/>
              </w:rPr>
              <w:lastRenderedPageBreak/>
              <w:t>CAVITY PERFORMANCE RESULT</w:t>
            </w:r>
          </w:p>
        </w:tc>
      </w:tr>
      <w:tr w:rsidR="001F0052" w:rsidRPr="00D97B1C" w:rsidTr="00FD5081">
        <w:trPr>
          <w:cantSplit/>
          <w:trHeight w:val="288"/>
        </w:trPr>
        <w:tc>
          <w:tcPr>
            <w:tcW w:w="7205" w:type="dxa"/>
          </w:tcPr>
          <w:p w:rsidR="001F0052" w:rsidRPr="00002697" w:rsidRDefault="001F0052" w:rsidP="00D13229">
            <w:r w:rsidRPr="00002697">
              <w:t>Record performance limitation.</w:t>
            </w:r>
          </w:p>
          <w:p w:rsidR="001F0052" w:rsidRPr="00002697" w:rsidRDefault="001F0052" w:rsidP="00D13229">
            <w:r w:rsidRPr="00002697">
              <w:t>Definition of performance limitation terms: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Administrative Radiation: 10R/h admin limit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FE: FE loaded Qo curve</w:t>
            </w:r>
          </w:p>
          <w:p w:rsidR="001F0052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Quench: non-FE related quench limit</w:t>
            </w:r>
          </w:p>
          <w:p w:rsidR="00E8666F" w:rsidRPr="00002697" w:rsidRDefault="00E8666F" w:rsidP="00456E18">
            <w:pPr>
              <w:pStyle w:val="ListParagraph"/>
              <w:numPr>
                <w:ilvl w:val="0"/>
                <w:numId w:val="2"/>
              </w:numPr>
            </w:pPr>
            <w:r>
              <w:t>Multipacting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 xml:space="preserve">RF power: test limited by available RF power 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Cable: test aborted due to cable breakdown or broken cable</w:t>
            </w:r>
          </w:p>
          <w:p w:rsidR="001F0052" w:rsidRPr="00002697" w:rsidRDefault="001F0052" w:rsidP="00456E18">
            <w:pPr>
              <w:pStyle w:val="ListParagraph"/>
              <w:numPr>
                <w:ilvl w:val="0"/>
                <w:numId w:val="2"/>
              </w:numPr>
            </w:pPr>
            <w:r w:rsidRPr="00002697">
              <w:t>Other: RF Tester defined</w:t>
            </w:r>
          </w:p>
          <w:p w:rsidR="001F0052" w:rsidRPr="00002697" w:rsidRDefault="001F0052" w:rsidP="00D13229">
            <w:pPr>
              <w:rPr>
                <w:szCs w:val="22"/>
              </w:rPr>
            </w:pPr>
            <w:r w:rsidRPr="00002697">
              <w:rPr>
                <w:szCs w:val="22"/>
              </w:rPr>
              <w:t>If Other is selected, record pertinent information in the Comment box at the right.</w:t>
            </w:r>
          </w:p>
        </w:tc>
        <w:tc>
          <w:tcPr>
            <w:tcW w:w="11368" w:type="dxa"/>
            <w:gridSpan w:val="4"/>
            <w:shd w:val="clear" w:color="auto" w:fill="auto"/>
            <w:noWrap/>
          </w:tcPr>
          <w:p w:rsidR="002973CA" w:rsidRPr="00A22CD8" w:rsidRDefault="00E8666F" w:rsidP="00A22CD8">
            <w:r w:rsidRPr="00A22CD8">
              <w:t>[[PerformanceLimit]] {{AdministrativeRadiation,FE,Quench,Multipacting,RFpower,Cable,Operator,</w:t>
            </w:r>
            <w:r w:rsidR="001F0052" w:rsidRPr="00A22CD8">
              <w:t>Other}} &lt;&lt;SELECT&gt;&gt;</w:t>
            </w:r>
          </w:p>
          <w:p w:rsidR="001F0052" w:rsidRPr="00B2253B" w:rsidRDefault="002973CA" w:rsidP="00A22CD8">
            <w:pPr>
              <w:rPr>
                <w:szCs w:val="22"/>
              </w:rPr>
            </w:pPr>
            <w:r>
              <w:t>[[PerformanceLimitComment</w:t>
            </w:r>
            <w:r w:rsidR="001F0052" w:rsidRPr="00A22CD8">
              <w:t>]] &lt;&lt;COMMENT&gt;&gt;</w:t>
            </w:r>
          </w:p>
        </w:tc>
      </w:tr>
      <w:tr w:rsidR="009D6B65" w:rsidRPr="00D97B1C" w:rsidTr="00FD5081">
        <w:trPr>
          <w:cantSplit/>
          <w:trHeight w:val="288"/>
        </w:trPr>
        <w:tc>
          <w:tcPr>
            <w:tcW w:w="18573" w:type="dxa"/>
            <w:gridSpan w:val="5"/>
            <w:shd w:val="clear" w:color="auto" w:fill="EAF1DD" w:themeFill="accent3" w:themeFillTint="33"/>
          </w:tcPr>
          <w:p w:rsidR="009D6B65" w:rsidRPr="00E8666F" w:rsidRDefault="009D6B65" w:rsidP="00947618">
            <w:pPr>
              <w:rPr>
                <w:b/>
                <w:bCs/>
                <w:caps/>
                <w:spacing w:val="5"/>
              </w:rPr>
            </w:pPr>
            <w:r w:rsidRPr="00E8666F">
              <w:rPr>
                <w:rStyle w:val="BookTitle"/>
                <w:caps/>
                <w:smallCaps w:val="0"/>
              </w:rPr>
              <w:t>Temperature dependent Q measurements</w:t>
            </w:r>
          </w:p>
        </w:tc>
      </w:tr>
      <w:tr w:rsidR="001F0052" w:rsidRPr="00D97B1C" w:rsidTr="00FD5081">
        <w:trPr>
          <w:cantSplit/>
          <w:trHeight w:val="288"/>
        </w:trPr>
        <w:tc>
          <w:tcPr>
            <w:tcW w:w="7205" w:type="dxa"/>
          </w:tcPr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lastRenderedPageBreak/>
              <w:t>Identify the set of field levels at which Q0 measurements will be attempted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Identify the set of temperatures where these measurements will be made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Collect data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Convert data to avg Rs and plot vs. reduced temperature</w:t>
            </w:r>
            <w:r>
              <w:t xml:space="preserve"> (1 – T / T</w:t>
            </w:r>
            <w:r w:rsidRPr="001F0052">
              <w:rPr>
                <w:vertAlign w:val="subscript"/>
              </w:rPr>
              <w:t>c</w:t>
            </w:r>
            <w:r>
              <w:rPr>
                <w:vertAlign w:val="subscript"/>
              </w:rPr>
              <w:t>)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Fit for residual resistance (Rres) at each field level available</w:t>
            </w:r>
          </w:p>
          <w:p w:rsidR="001F0052" w:rsidRPr="00002697" w:rsidRDefault="001F0052" w:rsidP="00A23C4E">
            <w:pPr>
              <w:pStyle w:val="NoSpacing"/>
              <w:numPr>
                <w:ilvl w:val="0"/>
                <w:numId w:val="9"/>
              </w:numPr>
            </w:pPr>
            <w:r w:rsidRPr="00002697">
              <w:t>Upload analysis file(s)</w:t>
            </w:r>
          </w:p>
        </w:tc>
        <w:tc>
          <w:tcPr>
            <w:tcW w:w="11368" w:type="dxa"/>
            <w:gridSpan w:val="4"/>
            <w:shd w:val="clear" w:color="auto" w:fill="auto"/>
            <w:noWrap/>
          </w:tcPr>
          <w:p w:rsidR="001F0052" w:rsidRPr="00A22CD8" w:rsidRDefault="001F0052" w:rsidP="00A22CD8">
            <w:r w:rsidRPr="00A22CD8">
              <w:t>[[QvsTComments</w:t>
            </w:r>
            <w:r w:rsidR="004713B9">
              <w:t>]] &lt;&lt;COMMENT</w:t>
            </w:r>
            <w:r w:rsidRPr="00A22CD8">
              <w:t>&gt;&gt;</w:t>
            </w:r>
          </w:p>
          <w:p w:rsidR="001F0052" w:rsidRPr="00A22CD8" w:rsidRDefault="001F0052" w:rsidP="00A22CD8">
            <w:r w:rsidRPr="00A22CD8">
              <w:t>[[RsvsReducedTplot]] &lt;&lt;FILEUPLOAD&gt;&gt;</w:t>
            </w:r>
          </w:p>
          <w:p w:rsidR="001F0052" w:rsidRPr="00A22CD8" w:rsidRDefault="001F0052" w:rsidP="00A22CD8">
            <w:r w:rsidRPr="00A22CD8">
              <w:t>[[Residual</w:t>
            </w:r>
            <w:r w:rsidR="00FE34B8">
              <w:t>_ResistanceComment]] &lt;&lt;COMMENT</w:t>
            </w:r>
            <w:r w:rsidRPr="00A22CD8">
              <w:t>&gt;&gt;</w:t>
            </w:r>
          </w:p>
          <w:p w:rsidR="001F0052" w:rsidRPr="00B2253B" w:rsidRDefault="001F0052" w:rsidP="00A22CD8">
            <w:r w:rsidRPr="00A22CD8">
              <w:t>[[BCSandRsAnalysisFiles]] &lt;&lt;FILEUPLOAD&gt;&gt;</w:t>
            </w:r>
          </w:p>
        </w:tc>
      </w:tr>
      <w:tr w:rsidR="009D6B65" w:rsidRPr="00D97B1C" w:rsidTr="00FD5081">
        <w:trPr>
          <w:cantSplit/>
          <w:trHeight w:val="288"/>
        </w:trPr>
        <w:tc>
          <w:tcPr>
            <w:tcW w:w="18573" w:type="dxa"/>
            <w:gridSpan w:val="5"/>
            <w:shd w:val="clear" w:color="auto" w:fill="EAF1DD" w:themeFill="accent3" w:themeFillTint="33"/>
          </w:tcPr>
          <w:p w:rsidR="009D6B65" w:rsidRPr="00E8666F" w:rsidRDefault="009D6B65" w:rsidP="00105765">
            <w:pPr>
              <w:rPr>
                <w:b/>
                <w:bCs/>
                <w:caps/>
                <w:spacing w:val="5"/>
              </w:rPr>
            </w:pPr>
            <w:r w:rsidRPr="00E8666F">
              <w:rPr>
                <w:rStyle w:val="BookTitle"/>
                <w:caps/>
                <w:smallCaps w:val="0"/>
              </w:rPr>
              <w:t>PASSBAND RF PROCESSING UNSCALED QUENCH LIMITS</w:t>
            </w:r>
          </w:p>
        </w:tc>
      </w:tr>
      <w:tr w:rsidR="009C1046" w:rsidRPr="00D97B1C" w:rsidTr="00FD5081">
        <w:trPr>
          <w:cantSplit/>
          <w:trHeight w:val="233"/>
        </w:trPr>
        <w:tc>
          <w:tcPr>
            <w:tcW w:w="7205" w:type="dxa"/>
            <w:vMerge w:val="restart"/>
          </w:tcPr>
          <w:p w:rsidR="003D132F" w:rsidRPr="00002697" w:rsidRDefault="003D132F" w:rsidP="00105765">
            <w:r w:rsidRPr="00002697">
              <w:t xml:space="preserve">If </w:t>
            </w:r>
            <w:r>
              <w:t>RF processing was performed in</w:t>
            </w:r>
            <w:r w:rsidRPr="00002697">
              <w:t xml:space="preserve"> modes other than the fundmental mode, record the unscaled Eacc quench limit for each mode processed.  </w:t>
            </w:r>
          </w:p>
          <w:p w:rsidR="003D132F" w:rsidRPr="00002697" w:rsidRDefault="003D132F" w:rsidP="00105765"/>
          <w:p w:rsidR="003D132F" w:rsidRDefault="003D132F" w:rsidP="00105765">
            <w:r w:rsidRPr="00002697">
              <w:t>Use number of entries as appropriate for the multi-cell cavity.</w:t>
            </w:r>
          </w:p>
          <w:p w:rsidR="003D132F" w:rsidRPr="00002697" w:rsidRDefault="003D132F" w:rsidP="00105765">
            <w:r>
              <w:t>Where x = number of cells</w:t>
            </w:r>
          </w:p>
          <w:p w:rsidR="003D132F" w:rsidRDefault="003D132F" w:rsidP="00DA4378">
            <w:r w:rsidRPr="00002697">
              <w:t>(e.g., X = 2, 3, 4, 5, 6, 7, 8, 9)</w:t>
            </w:r>
          </w:p>
          <w:p w:rsidR="00E70A73" w:rsidRDefault="00E70A73" w:rsidP="00DA4378"/>
          <w:p w:rsidR="003D132F" w:rsidRPr="00105765" w:rsidRDefault="003D132F" w:rsidP="00DA4378">
            <w:pPr>
              <w:rPr>
                <w:highlight w:val="cyan"/>
              </w:rPr>
            </w:pPr>
            <w:r w:rsidRPr="00A22CD8">
              <w:t>[[QuenchStudyComment]]&lt;&lt;COMMENT&gt;&gt;</w:t>
            </w:r>
          </w:p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auto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F6B6B" w:rsidP="007B1613">
            <w:r w:rsidRPr="007B1613">
              <w:t>9</w:t>
            </w:r>
          </w:p>
        </w:tc>
        <w:tc>
          <w:tcPr>
            <w:tcW w:w="9479" w:type="dxa"/>
            <w:shd w:val="clear" w:color="auto" w:fill="auto"/>
          </w:tcPr>
          <w:p w:rsidR="003D132F" w:rsidRPr="00B2253B" w:rsidRDefault="003D132F" w:rsidP="003D132F">
            <w:r w:rsidRPr="00A22CD8">
              <w:t>[[EaccUnscaledQuench_</w:t>
            </w:r>
            <w:r>
              <w:t>9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auto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[[EaccUnscaledQuench_8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F6B6B" w:rsidP="007B1613">
            <w:r w:rsidRPr="007B1613">
              <w:t>7</w:t>
            </w:r>
          </w:p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[[EaccUnscaledQuench_7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auto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[[EaccUnscaledQuench_6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F6B6B" w:rsidP="007B1613">
            <w:r w:rsidRPr="007B1613">
              <w:t>5</w:t>
            </w:r>
          </w:p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[[EaccUnscaledQuench_5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[[EaccUnscaledQuench_4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[[EaccUnscaledQuench_3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[[EaccUnscaledQuench_2</w:t>
            </w:r>
            <w:r w:rsidRPr="00A22CD8">
              <w:t>_XPi]] &lt;&lt;FLOAT&gt;&gt;(MV/m)</w:t>
            </w:r>
          </w:p>
        </w:tc>
      </w:tr>
      <w:tr w:rsidR="009C1046" w:rsidRPr="00D97B1C" w:rsidTr="00FD5081">
        <w:trPr>
          <w:cantSplit/>
          <w:trHeight w:val="230"/>
        </w:trPr>
        <w:tc>
          <w:tcPr>
            <w:tcW w:w="7205" w:type="dxa"/>
            <w:vMerge/>
          </w:tcPr>
          <w:p w:rsidR="003D132F" w:rsidRPr="00002697" w:rsidRDefault="003D132F" w:rsidP="00105765"/>
        </w:tc>
        <w:tc>
          <w:tcPr>
            <w:tcW w:w="694" w:type="dxa"/>
            <w:shd w:val="clear" w:color="auto" w:fill="00B0F0"/>
            <w:noWrap/>
          </w:tcPr>
          <w:p w:rsidR="003D132F" w:rsidRPr="007B1613" w:rsidRDefault="003D132F" w:rsidP="007B1613"/>
        </w:tc>
        <w:tc>
          <w:tcPr>
            <w:tcW w:w="556" w:type="dxa"/>
            <w:shd w:val="clear" w:color="auto" w:fill="FFFF00"/>
          </w:tcPr>
          <w:p w:rsidR="003D132F" w:rsidRPr="007B1613" w:rsidRDefault="003D132F" w:rsidP="007B1613"/>
        </w:tc>
        <w:tc>
          <w:tcPr>
            <w:tcW w:w="639" w:type="dxa"/>
            <w:shd w:val="clear" w:color="auto" w:fill="00B050"/>
          </w:tcPr>
          <w:p w:rsidR="003D132F" w:rsidRPr="007B1613" w:rsidRDefault="003D132F" w:rsidP="007B1613"/>
        </w:tc>
        <w:tc>
          <w:tcPr>
            <w:tcW w:w="9479" w:type="dxa"/>
            <w:shd w:val="clear" w:color="auto" w:fill="auto"/>
          </w:tcPr>
          <w:p w:rsidR="003D132F" w:rsidRPr="00A22CD8" w:rsidRDefault="003D132F" w:rsidP="00DA4378">
            <w:r>
              <w:t>[[EaccUnscaledQuench_1</w:t>
            </w:r>
            <w:r w:rsidRPr="00A22CD8">
              <w:t>_XPi]] &lt;&lt;FLOAT&gt;&gt;(MV/m)</w:t>
            </w:r>
          </w:p>
        </w:tc>
      </w:tr>
    </w:tbl>
    <w:p w:rsidR="00A208EE" w:rsidRPr="00D97B1C" w:rsidRDefault="00A208EE" w:rsidP="00D97B1C"/>
    <w:sectPr w:rsidR="00A208EE" w:rsidRPr="00D97B1C" w:rsidSect="001E22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E10" w:rsidRDefault="00A11E10" w:rsidP="00D97B1C">
      <w:r>
        <w:separator/>
      </w:r>
    </w:p>
  </w:endnote>
  <w:endnote w:type="continuationSeparator" w:id="0">
    <w:p w:rsidR="00A11E10" w:rsidRDefault="00A11E1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F4150F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734B2">
      <w:rPr>
        <w:noProof/>
      </w:rPr>
      <w:t>STP-CAV-VTRF-R1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0329D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0329D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40329D">
      <w:rPr>
        <w:noProof/>
      </w:rPr>
      <w:t>10/5/2018 11:49:00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E10" w:rsidRDefault="00A11E10" w:rsidP="00D97B1C">
      <w:r>
        <w:separator/>
      </w:r>
    </w:p>
  </w:footnote>
  <w:footnote w:type="continuationSeparator" w:id="0">
    <w:p w:rsidR="00A11E10" w:rsidRDefault="00A11E1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 wp14:anchorId="484133ED" wp14:editId="0871D5CE">
          <wp:extent cx="1988893" cy="457200"/>
          <wp:effectExtent l="19050" t="0" r="0" b="0"/>
          <wp:docPr id="3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223F6FC" wp14:editId="08C6EF67">
          <wp:extent cx="1942712" cy="457200"/>
          <wp:effectExtent l="19050" t="0" r="388" b="0"/>
          <wp:docPr id="4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33E2"/>
    <w:multiLevelType w:val="hybridMultilevel"/>
    <w:tmpl w:val="5EA0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D6BED"/>
    <w:multiLevelType w:val="hybridMultilevel"/>
    <w:tmpl w:val="52F284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B5CCC"/>
    <w:multiLevelType w:val="hybridMultilevel"/>
    <w:tmpl w:val="94BEA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0C14BA"/>
    <w:multiLevelType w:val="hybridMultilevel"/>
    <w:tmpl w:val="B866A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50C1"/>
    <w:multiLevelType w:val="hybridMultilevel"/>
    <w:tmpl w:val="81A2C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921C85"/>
    <w:multiLevelType w:val="hybridMultilevel"/>
    <w:tmpl w:val="7C94B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1657"/>
    <w:multiLevelType w:val="hybridMultilevel"/>
    <w:tmpl w:val="63262C4A"/>
    <w:lvl w:ilvl="0" w:tplc="5F8CDF70">
      <w:start w:val="1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FF0808"/>
    <w:multiLevelType w:val="hybridMultilevel"/>
    <w:tmpl w:val="8FECD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FD0267"/>
    <w:multiLevelType w:val="hybridMultilevel"/>
    <w:tmpl w:val="9ED8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67585"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66FF"/>
    <w:rsid w:val="00002697"/>
    <w:rsid w:val="0001458B"/>
    <w:rsid w:val="00030187"/>
    <w:rsid w:val="00034FD9"/>
    <w:rsid w:val="00037A65"/>
    <w:rsid w:val="00053DAF"/>
    <w:rsid w:val="00063A8E"/>
    <w:rsid w:val="00064FB0"/>
    <w:rsid w:val="00067F40"/>
    <w:rsid w:val="000734B2"/>
    <w:rsid w:val="00073B35"/>
    <w:rsid w:val="00085D59"/>
    <w:rsid w:val="000873DE"/>
    <w:rsid w:val="000942AE"/>
    <w:rsid w:val="000A3967"/>
    <w:rsid w:val="000A4442"/>
    <w:rsid w:val="000A463B"/>
    <w:rsid w:val="000A5086"/>
    <w:rsid w:val="000A6A64"/>
    <w:rsid w:val="000A710A"/>
    <w:rsid w:val="000C0EA7"/>
    <w:rsid w:val="000C3265"/>
    <w:rsid w:val="000C62A6"/>
    <w:rsid w:val="000C6364"/>
    <w:rsid w:val="000C7C4C"/>
    <w:rsid w:val="000E0F64"/>
    <w:rsid w:val="000E5E09"/>
    <w:rsid w:val="000F18B7"/>
    <w:rsid w:val="000F196D"/>
    <w:rsid w:val="000F5031"/>
    <w:rsid w:val="000F5100"/>
    <w:rsid w:val="000F63EE"/>
    <w:rsid w:val="000F66CA"/>
    <w:rsid w:val="00101E23"/>
    <w:rsid w:val="00102D1B"/>
    <w:rsid w:val="00105765"/>
    <w:rsid w:val="001143C0"/>
    <w:rsid w:val="00126275"/>
    <w:rsid w:val="0013012B"/>
    <w:rsid w:val="00130627"/>
    <w:rsid w:val="00131799"/>
    <w:rsid w:val="001449BC"/>
    <w:rsid w:val="00161325"/>
    <w:rsid w:val="00161FD7"/>
    <w:rsid w:val="001643DD"/>
    <w:rsid w:val="00164C85"/>
    <w:rsid w:val="00165C8E"/>
    <w:rsid w:val="00166540"/>
    <w:rsid w:val="001678B7"/>
    <w:rsid w:val="001711DE"/>
    <w:rsid w:val="00171915"/>
    <w:rsid w:val="00175AF0"/>
    <w:rsid w:val="001835C8"/>
    <w:rsid w:val="00185498"/>
    <w:rsid w:val="001928C4"/>
    <w:rsid w:val="001A2FA2"/>
    <w:rsid w:val="001B0A81"/>
    <w:rsid w:val="001B1150"/>
    <w:rsid w:val="001B597D"/>
    <w:rsid w:val="001B650E"/>
    <w:rsid w:val="001B6ACD"/>
    <w:rsid w:val="001C016F"/>
    <w:rsid w:val="001C41A7"/>
    <w:rsid w:val="001C41CA"/>
    <w:rsid w:val="001E0EE9"/>
    <w:rsid w:val="001E229D"/>
    <w:rsid w:val="001E2532"/>
    <w:rsid w:val="001E3261"/>
    <w:rsid w:val="001E612B"/>
    <w:rsid w:val="001F0052"/>
    <w:rsid w:val="001F302D"/>
    <w:rsid w:val="001F4AF2"/>
    <w:rsid w:val="001F5D13"/>
    <w:rsid w:val="00201E3C"/>
    <w:rsid w:val="00211F67"/>
    <w:rsid w:val="00214498"/>
    <w:rsid w:val="00220BDE"/>
    <w:rsid w:val="002247E5"/>
    <w:rsid w:val="002250AC"/>
    <w:rsid w:val="0023485A"/>
    <w:rsid w:val="00235E52"/>
    <w:rsid w:val="00244AAB"/>
    <w:rsid w:val="00246987"/>
    <w:rsid w:val="002508CC"/>
    <w:rsid w:val="0025100C"/>
    <w:rsid w:val="002522D7"/>
    <w:rsid w:val="002547F1"/>
    <w:rsid w:val="0025482F"/>
    <w:rsid w:val="002607E6"/>
    <w:rsid w:val="00267EE0"/>
    <w:rsid w:val="00273C7E"/>
    <w:rsid w:val="0028173C"/>
    <w:rsid w:val="002829B6"/>
    <w:rsid w:val="002849B4"/>
    <w:rsid w:val="00286CF6"/>
    <w:rsid w:val="00291A4E"/>
    <w:rsid w:val="00292FC8"/>
    <w:rsid w:val="00296D1C"/>
    <w:rsid w:val="002973CA"/>
    <w:rsid w:val="002B26BB"/>
    <w:rsid w:val="002C06D8"/>
    <w:rsid w:val="002D2045"/>
    <w:rsid w:val="002D325F"/>
    <w:rsid w:val="002D3B44"/>
    <w:rsid w:val="002E19BD"/>
    <w:rsid w:val="002E35DC"/>
    <w:rsid w:val="002E4AD8"/>
    <w:rsid w:val="002F2829"/>
    <w:rsid w:val="002F292D"/>
    <w:rsid w:val="00305477"/>
    <w:rsid w:val="00306D0D"/>
    <w:rsid w:val="00317F9D"/>
    <w:rsid w:val="0032290C"/>
    <w:rsid w:val="003230F1"/>
    <w:rsid w:val="00340E8A"/>
    <w:rsid w:val="00347C32"/>
    <w:rsid w:val="00351701"/>
    <w:rsid w:val="00355812"/>
    <w:rsid w:val="0036135C"/>
    <w:rsid w:val="00374E71"/>
    <w:rsid w:val="00375A07"/>
    <w:rsid w:val="00381916"/>
    <w:rsid w:val="003831FD"/>
    <w:rsid w:val="00384070"/>
    <w:rsid w:val="00393E35"/>
    <w:rsid w:val="003A4FFA"/>
    <w:rsid w:val="003C42E3"/>
    <w:rsid w:val="003C599A"/>
    <w:rsid w:val="003D132F"/>
    <w:rsid w:val="003D48C5"/>
    <w:rsid w:val="003D7A7D"/>
    <w:rsid w:val="003E53B5"/>
    <w:rsid w:val="003F6552"/>
    <w:rsid w:val="003F6B6B"/>
    <w:rsid w:val="003F6E41"/>
    <w:rsid w:val="00400B75"/>
    <w:rsid w:val="004021A5"/>
    <w:rsid w:val="0040329D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6E18"/>
    <w:rsid w:val="004615A3"/>
    <w:rsid w:val="00464931"/>
    <w:rsid w:val="004675B5"/>
    <w:rsid w:val="004713B9"/>
    <w:rsid w:val="004719F1"/>
    <w:rsid w:val="00477736"/>
    <w:rsid w:val="0048150C"/>
    <w:rsid w:val="004822D7"/>
    <w:rsid w:val="00482C02"/>
    <w:rsid w:val="004962E9"/>
    <w:rsid w:val="004A659B"/>
    <w:rsid w:val="004B1315"/>
    <w:rsid w:val="004B3A4E"/>
    <w:rsid w:val="004B4724"/>
    <w:rsid w:val="004B623C"/>
    <w:rsid w:val="004C1485"/>
    <w:rsid w:val="004C3004"/>
    <w:rsid w:val="004C4EED"/>
    <w:rsid w:val="004C5B62"/>
    <w:rsid w:val="004D399E"/>
    <w:rsid w:val="004D4385"/>
    <w:rsid w:val="004E1631"/>
    <w:rsid w:val="004E2BC3"/>
    <w:rsid w:val="004E687E"/>
    <w:rsid w:val="00503CA4"/>
    <w:rsid w:val="00504D13"/>
    <w:rsid w:val="00506588"/>
    <w:rsid w:val="00512034"/>
    <w:rsid w:val="00514D40"/>
    <w:rsid w:val="0051578A"/>
    <w:rsid w:val="005158B8"/>
    <w:rsid w:val="00520BE4"/>
    <w:rsid w:val="005229B4"/>
    <w:rsid w:val="00523780"/>
    <w:rsid w:val="00535B09"/>
    <w:rsid w:val="00543DDA"/>
    <w:rsid w:val="005553DF"/>
    <w:rsid w:val="00561F20"/>
    <w:rsid w:val="00564415"/>
    <w:rsid w:val="005649D7"/>
    <w:rsid w:val="005725E1"/>
    <w:rsid w:val="0057799A"/>
    <w:rsid w:val="00587870"/>
    <w:rsid w:val="00592428"/>
    <w:rsid w:val="0059398C"/>
    <w:rsid w:val="00594166"/>
    <w:rsid w:val="005A6797"/>
    <w:rsid w:val="005B30E9"/>
    <w:rsid w:val="005B7BF6"/>
    <w:rsid w:val="005C0CC9"/>
    <w:rsid w:val="005C51C6"/>
    <w:rsid w:val="005D0C92"/>
    <w:rsid w:val="005D52F0"/>
    <w:rsid w:val="005D5B3A"/>
    <w:rsid w:val="005D6EAE"/>
    <w:rsid w:val="005E3207"/>
    <w:rsid w:val="005E3B8C"/>
    <w:rsid w:val="005E4A80"/>
    <w:rsid w:val="005E7A0D"/>
    <w:rsid w:val="005E7D17"/>
    <w:rsid w:val="005F470F"/>
    <w:rsid w:val="005F5200"/>
    <w:rsid w:val="005F5881"/>
    <w:rsid w:val="00602104"/>
    <w:rsid w:val="00603325"/>
    <w:rsid w:val="00612DA7"/>
    <w:rsid w:val="006157C5"/>
    <w:rsid w:val="00616CEA"/>
    <w:rsid w:val="006259BF"/>
    <w:rsid w:val="0063437E"/>
    <w:rsid w:val="006362EC"/>
    <w:rsid w:val="00643537"/>
    <w:rsid w:val="006455EE"/>
    <w:rsid w:val="006464EC"/>
    <w:rsid w:val="00647146"/>
    <w:rsid w:val="00647CFD"/>
    <w:rsid w:val="006522A3"/>
    <w:rsid w:val="0066015F"/>
    <w:rsid w:val="006608F0"/>
    <w:rsid w:val="00661635"/>
    <w:rsid w:val="0066372D"/>
    <w:rsid w:val="0067627E"/>
    <w:rsid w:val="00683C6B"/>
    <w:rsid w:val="00683FC9"/>
    <w:rsid w:val="00685C9A"/>
    <w:rsid w:val="0069006B"/>
    <w:rsid w:val="00696078"/>
    <w:rsid w:val="006A594F"/>
    <w:rsid w:val="006A650C"/>
    <w:rsid w:val="006B0732"/>
    <w:rsid w:val="006B4E30"/>
    <w:rsid w:val="006B6511"/>
    <w:rsid w:val="006B6CB3"/>
    <w:rsid w:val="006B6F8F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D62"/>
    <w:rsid w:val="00723EDF"/>
    <w:rsid w:val="00726652"/>
    <w:rsid w:val="00734468"/>
    <w:rsid w:val="00747E5A"/>
    <w:rsid w:val="00751C85"/>
    <w:rsid w:val="00752FFE"/>
    <w:rsid w:val="00755A06"/>
    <w:rsid w:val="00766F7D"/>
    <w:rsid w:val="007749CB"/>
    <w:rsid w:val="00776389"/>
    <w:rsid w:val="007856A2"/>
    <w:rsid w:val="007865A5"/>
    <w:rsid w:val="00790A9E"/>
    <w:rsid w:val="007915D1"/>
    <w:rsid w:val="00791D74"/>
    <w:rsid w:val="00793B72"/>
    <w:rsid w:val="00796B69"/>
    <w:rsid w:val="00796D75"/>
    <w:rsid w:val="007A2151"/>
    <w:rsid w:val="007B1613"/>
    <w:rsid w:val="007B32FF"/>
    <w:rsid w:val="007B526B"/>
    <w:rsid w:val="007B65AF"/>
    <w:rsid w:val="007C13A0"/>
    <w:rsid w:val="007C2203"/>
    <w:rsid w:val="007C66FF"/>
    <w:rsid w:val="007C69FD"/>
    <w:rsid w:val="007C7BC3"/>
    <w:rsid w:val="007D33B6"/>
    <w:rsid w:val="007D3AB3"/>
    <w:rsid w:val="007D458D"/>
    <w:rsid w:val="007E11B4"/>
    <w:rsid w:val="007E1A80"/>
    <w:rsid w:val="007E23EB"/>
    <w:rsid w:val="007E2564"/>
    <w:rsid w:val="007E5AF2"/>
    <w:rsid w:val="007E720D"/>
    <w:rsid w:val="007F01B4"/>
    <w:rsid w:val="007F2E03"/>
    <w:rsid w:val="007F4C92"/>
    <w:rsid w:val="00804726"/>
    <w:rsid w:val="00806187"/>
    <w:rsid w:val="00813575"/>
    <w:rsid w:val="008233FF"/>
    <w:rsid w:val="00825E12"/>
    <w:rsid w:val="00826D15"/>
    <w:rsid w:val="0082777E"/>
    <w:rsid w:val="0083081B"/>
    <w:rsid w:val="00834508"/>
    <w:rsid w:val="00835A29"/>
    <w:rsid w:val="00835D01"/>
    <w:rsid w:val="00841363"/>
    <w:rsid w:val="008600D4"/>
    <w:rsid w:val="008619A8"/>
    <w:rsid w:val="008873FA"/>
    <w:rsid w:val="00894E61"/>
    <w:rsid w:val="00895540"/>
    <w:rsid w:val="008959D1"/>
    <w:rsid w:val="00895E06"/>
    <w:rsid w:val="00896ADD"/>
    <w:rsid w:val="008A277A"/>
    <w:rsid w:val="008B695A"/>
    <w:rsid w:val="008C3D4F"/>
    <w:rsid w:val="008C5B3E"/>
    <w:rsid w:val="008D498A"/>
    <w:rsid w:val="008D5A63"/>
    <w:rsid w:val="008D7218"/>
    <w:rsid w:val="008D76DE"/>
    <w:rsid w:val="008E2762"/>
    <w:rsid w:val="008E588F"/>
    <w:rsid w:val="00901270"/>
    <w:rsid w:val="00910D5E"/>
    <w:rsid w:val="00913200"/>
    <w:rsid w:val="009162AB"/>
    <w:rsid w:val="00916690"/>
    <w:rsid w:val="00917171"/>
    <w:rsid w:val="00927CA2"/>
    <w:rsid w:val="009329BD"/>
    <w:rsid w:val="00932FBB"/>
    <w:rsid w:val="00940264"/>
    <w:rsid w:val="00941A42"/>
    <w:rsid w:val="00947618"/>
    <w:rsid w:val="00947ECF"/>
    <w:rsid w:val="00952455"/>
    <w:rsid w:val="00953602"/>
    <w:rsid w:val="00957CBB"/>
    <w:rsid w:val="00961BC6"/>
    <w:rsid w:val="0097154E"/>
    <w:rsid w:val="00976CEF"/>
    <w:rsid w:val="00987670"/>
    <w:rsid w:val="009903C0"/>
    <w:rsid w:val="009918DD"/>
    <w:rsid w:val="0099215E"/>
    <w:rsid w:val="00995F42"/>
    <w:rsid w:val="009A3F60"/>
    <w:rsid w:val="009A489D"/>
    <w:rsid w:val="009A6771"/>
    <w:rsid w:val="009B6DF4"/>
    <w:rsid w:val="009C1046"/>
    <w:rsid w:val="009C524F"/>
    <w:rsid w:val="009D6B65"/>
    <w:rsid w:val="009D7011"/>
    <w:rsid w:val="009E0910"/>
    <w:rsid w:val="009F660F"/>
    <w:rsid w:val="00A000A6"/>
    <w:rsid w:val="00A11E10"/>
    <w:rsid w:val="00A136D5"/>
    <w:rsid w:val="00A208EE"/>
    <w:rsid w:val="00A21F4D"/>
    <w:rsid w:val="00A22CD8"/>
    <w:rsid w:val="00A23C4E"/>
    <w:rsid w:val="00A26F25"/>
    <w:rsid w:val="00A316A7"/>
    <w:rsid w:val="00A35DB3"/>
    <w:rsid w:val="00A419F0"/>
    <w:rsid w:val="00A44853"/>
    <w:rsid w:val="00A5188B"/>
    <w:rsid w:val="00A56D08"/>
    <w:rsid w:val="00A61DA0"/>
    <w:rsid w:val="00A6736C"/>
    <w:rsid w:val="00A67D99"/>
    <w:rsid w:val="00A74920"/>
    <w:rsid w:val="00A76118"/>
    <w:rsid w:val="00A841DF"/>
    <w:rsid w:val="00A84956"/>
    <w:rsid w:val="00A9123F"/>
    <w:rsid w:val="00A91E74"/>
    <w:rsid w:val="00A9592F"/>
    <w:rsid w:val="00A96426"/>
    <w:rsid w:val="00A973DE"/>
    <w:rsid w:val="00AB07B6"/>
    <w:rsid w:val="00AB43D5"/>
    <w:rsid w:val="00AB4AC3"/>
    <w:rsid w:val="00AB5D2E"/>
    <w:rsid w:val="00AC199D"/>
    <w:rsid w:val="00AC24A2"/>
    <w:rsid w:val="00AD232C"/>
    <w:rsid w:val="00AD4EBB"/>
    <w:rsid w:val="00AE40FA"/>
    <w:rsid w:val="00AF0020"/>
    <w:rsid w:val="00AF46AF"/>
    <w:rsid w:val="00B104B6"/>
    <w:rsid w:val="00B1134C"/>
    <w:rsid w:val="00B13078"/>
    <w:rsid w:val="00B1554F"/>
    <w:rsid w:val="00B16F27"/>
    <w:rsid w:val="00B2253B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169E"/>
    <w:rsid w:val="00BB3E4E"/>
    <w:rsid w:val="00BC05C0"/>
    <w:rsid w:val="00BD6884"/>
    <w:rsid w:val="00BD6ADD"/>
    <w:rsid w:val="00BE1BCD"/>
    <w:rsid w:val="00BE484A"/>
    <w:rsid w:val="00BF589E"/>
    <w:rsid w:val="00C0197D"/>
    <w:rsid w:val="00C042CB"/>
    <w:rsid w:val="00C05929"/>
    <w:rsid w:val="00C11977"/>
    <w:rsid w:val="00C12422"/>
    <w:rsid w:val="00C15355"/>
    <w:rsid w:val="00C22146"/>
    <w:rsid w:val="00C26819"/>
    <w:rsid w:val="00C40E54"/>
    <w:rsid w:val="00C44FDB"/>
    <w:rsid w:val="00C45D8E"/>
    <w:rsid w:val="00C532E5"/>
    <w:rsid w:val="00C53F69"/>
    <w:rsid w:val="00C54C01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C1D27"/>
    <w:rsid w:val="00CC2582"/>
    <w:rsid w:val="00CC7FCF"/>
    <w:rsid w:val="00CD66D4"/>
    <w:rsid w:val="00CD6BF5"/>
    <w:rsid w:val="00CD6E4C"/>
    <w:rsid w:val="00CE1E06"/>
    <w:rsid w:val="00CE375D"/>
    <w:rsid w:val="00CE3E11"/>
    <w:rsid w:val="00CE548A"/>
    <w:rsid w:val="00CE6F27"/>
    <w:rsid w:val="00CF4E71"/>
    <w:rsid w:val="00D06A4C"/>
    <w:rsid w:val="00D142AF"/>
    <w:rsid w:val="00D203B7"/>
    <w:rsid w:val="00D33AE3"/>
    <w:rsid w:val="00D410B9"/>
    <w:rsid w:val="00D41388"/>
    <w:rsid w:val="00D42F46"/>
    <w:rsid w:val="00D45401"/>
    <w:rsid w:val="00D60A1D"/>
    <w:rsid w:val="00D67382"/>
    <w:rsid w:val="00D70B2D"/>
    <w:rsid w:val="00D73FC4"/>
    <w:rsid w:val="00D74EA2"/>
    <w:rsid w:val="00D7756F"/>
    <w:rsid w:val="00D808BF"/>
    <w:rsid w:val="00D80A0D"/>
    <w:rsid w:val="00D81018"/>
    <w:rsid w:val="00D90AA8"/>
    <w:rsid w:val="00D9144D"/>
    <w:rsid w:val="00D955CF"/>
    <w:rsid w:val="00D97B1C"/>
    <w:rsid w:val="00DA3A56"/>
    <w:rsid w:val="00DA4378"/>
    <w:rsid w:val="00DA591E"/>
    <w:rsid w:val="00DA72A7"/>
    <w:rsid w:val="00DB7920"/>
    <w:rsid w:val="00DC14A1"/>
    <w:rsid w:val="00DC16C1"/>
    <w:rsid w:val="00DD600F"/>
    <w:rsid w:val="00DE3C31"/>
    <w:rsid w:val="00DE73F0"/>
    <w:rsid w:val="00E06B2F"/>
    <w:rsid w:val="00E06D6E"/>
    <w:rsid w:val="00E15258"/>
    <w:rsid w:val="00E17623"/>
    <w:rsid w:val="00E26259"/>
    <w:rsid w:val="00E41BA7"/>
    <w:rsid w:val="00E516DE"/>
    <w:rsid w:val="00E61D0A"/>
    <w:rsid w:val="00E70A73"/>
    <w:rsid w:val="00E76F30"/>
    <w:rsid w:val="00E77A3B"/>
    <w:rsid w:val="00E80ADD"/>
    <w:rsid w:val="00E82919"/>
    <w:rsid w:val="00E8666F"/>
    <w:rsid w:val="00E97233"/>
    <w:rsid w:val="00E977C0"/>
    <w:rsid w:val="00EA1184"/>
    <w:rsid w:val="00EA3417"/>
    <w:rsid w:val="00EA5FE6"/>
    <w:rsid w:val="00EA6531"/>
    <w:rsid w:val="00EA7596"/>
    <w:rsid w:val="00EA7DAC"/>
    <w:rsid w:val="00EB70DE"/>
    <w:rsid w:val="00EC2F3D"/>
    <w:rsid w:val="00ED1D2E"/>
    <w:rsid w:val="00EE4B92"/>
    <w:rsid w:val="00EE7717"/>
    <w:rsid w:val="00EF7D19"/>
    <w:rsid w:val="00F14474"/>
    <w:rsid w:val="00F22BB0"/>
    <w:rsid w:val="00F254CF"/>
    <w:rsid w:val="00F25509"/>
    <w:rsid w:val="00F25A80"/>
    <w:rsid w:val="00F26C70"/>
    <w:rsid w:val="00F30EA7"/>
    <w:rsid w:val="00F31884"/>
    <w:rsid w:val="00F3251F"/>
    <w:rsid w:val="00F35A62"/>
    <w:rsid w:val="00F4150F"/>
    <w:rsid w:val="00F53593"/>
    <w:rsid w:val="00F560F2"/>
    <w:rsid w:val="00F634FB"/>
    <w:rsid w:val="00F70737"/>
    <w:rsid w:val="00F77089"/>
    <w:rsid w:val="00F80140"/>
    <w:rsid w:val="00F935F8"/>
    <w:rsid w:val="00F937C7"/>
    <w:rsid w:val="00F95932"/>
    <w:rsid w:val="00F9652F"/>
    <w:rsid w:val="00FA0EAC"/>
    <w:rsid w:val="00FA6442"/>
    <w:rsid w:val="00FB4232"/>
    <w:rsid w:val="00FC79E1"/>
    <w:rsid w:val="00FD0608"/>
    <w:rsid w:val="00FD0A95"/>
    <w:rsid w:val="00FD2425"/>
    <w:rsid w:val="00FD42BD"/>
    <w:rsid w:val="00FD5081"/>
    <w:rsid w:val="00FE1186"/>
    <w:rsid w:val="00FE34B8"/>
    <w:rsid w:val="00FF03E2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o:colormenu v:ext="edit" fillcolor="#92d050" strokecolor="none"/>
    </o:shapedefaults>
    <o:shapelayout v:ext="edit">
      <o:idmap v:ext="edit" data="1"/>
    </o:shapelayout>
  </w:shapeDefaults>
  <w:decimalSymbol w:val="."/>
  <w:listSeparator w:val=","/>
  <w14:docId w14:val="4132F1A4"/>
  <w15:docId w15:val="{FD7C9ABB-D565-4CC8-98B9-ADC63B51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6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66FF"/>
    <w:pPr>
      <w:ind w:left="720"/>
      <w:contextualSpacing/>
    </w:pPr>
    <w:rPr>
      <w:sz w:val="24"/>
    </w:rPr>
  </w:style>
  <w:style w:type="character" w:styleId="BookTitle">
    <w:name w:val="Book Title"/>
    <w:basedOn w:val="DefaultParagraphFont"/>
    <w:uiPriority w:val="33"/>
    <w:qFormat/>
    <w:rsid w:val="00BB169E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6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B16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F77089"/>
    <w:rPr>
      <w:b/>
      <w:bCs/>
      <w:smallCaps/>
      <w:color w:val="C0504D" w:themeColor="accent2"/>
      <w:spacing w:val="5"/>
      <w:u w:val="single"/>
    </w:rPr>
  </w:style>
  <w:style w:type="paragraph" w:styleId="NoSpacing">
    <w:name w:val="No Spacing"/>
    <w:uiPriority w:val="1"/>
    <w:qFormat/>
    <w:rsid w:val="00A23C4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D6A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98189/SpreadsheetTemplate%20for%20STP-CAV-VTRF_29Aug2016.xls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82195/Cavity%20RF%20Test%20Template_013114.xls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pansophy.jlab.org/pansophy/Admin/VIEW_CavType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View/Collection-160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10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B9E9-FA75-4E61-BB60-B3A9D49EC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6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Salvador, Megan</cp:lastModifiedBy>
  <cp:revision>2</cp:revision>
  <cp:lastPrinted>2017-11-08T19:05:00Z</cp:lastPrinted>
  <dcterms:created xsi:type="dcterms:W3CDTF">2018-10-09T16:26:00Z</dcterms:created>
  <dcterms:modified xsi:type="dcterms:W3CDTF">2018-10-09T16:26:00Z</dcterms:modified>
</cp:coreProperties>
</file>