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1C8A11DC" w14:textId="77777777" w:rsidTr="00992CE4">
        <w:trPr>
          <w:jc w:val="center"/>
        </w:trPr>
        <w:tc>
          <w:tcPr>
            <w:tcW w:w="10183" w:type="dxa"/>
            <w:gridSpan w:val="4"/>
            <w:tcBorders>
              <w:top w:val="single" w:sz="18" w:space="0" w:color="000000"/>
              <w:left w:val="nil"/>
              <w:bottom w:val="single" w:sz="18" w:space="0" w:color="000000"/>
              <w:right w:val="nil"/>
            </w:tcBorders>
          </w:tcPr>
          <w:p w14:paraId="490F6C14" w14:textId="3634F38E" w:rsidR="00B43C3C" w:rsidRDefault="00BD1F29" w:rsidP="00992CE4">
            <w:pPr>
              <w:jc w:val="center"/>
              <w:rPr>
                <w:rFonts w:ascii="Times" w:hAnsi="Times" w:cs="Arial"/>
                <w:b/>
                <w:color w:val="C00000"/>
                <w:sz w:val="40"/>
                <w:szCs w:val="40"/>
              </w:rPr>
            </w:pPr>
            <w:bookmarkStart w:id="0" w:name="Overview"/>
            <w:r>
              <w:rPr>
                <w:rFonts w:ascii="Times" w:hAnsi="Times" w:cs="Arial"/>
                <w:b/>
                <w:color w:val="C00000"/>
                <w:sz w:val="40"/>
                <w:szCs w:val="40"/>
              </w:rPr>
              <w:t>L2HE</w:t>
            </w:r>
            <w:r w:rsidR="003B03C6">
              <w:rPr>
                <w:rFonts w:ascii="Times" w:hAnsi="Times" w:cs="Arial"/>
                <w:b/>
                <w:color w:val="C00000"/>
                <w:sz w:val="40"/>
                <w:szCs w:val="40"/>
              </w:rPr>
              <w:t xml:space="preserve"> Cavity String to UCM</w:t>
            </w:r>
            <w:r w:rsidR="001744AD">
              <w:rPr>
                <w:rFonts w:ascii="Times" w:hAnsi="Times" w:cs="Arial"/>
                <w:b/>
                <w:color w:val="C00000"/>
                <w:sz w:val="40"/>
                <w:szCs w:val="40"/>
              </w:rPr>
              <w:t xml:space="preserve"> Alignment Procedure</w:t>
            </w:r>
          </w:p>
          <w:p w14:paraId="28706534" w14:textId="1800531B" w:rsidR="006B178F" w:rsidRDefault="004622D0" w:rsidP="00992CE4">
            <w:pPr>
              <w:jc w:val="center"/>
              <w:rPr>
                <w:rFonts w:ascii="Times" w:hAnsi="Times" w:cs="Arial"/>
                <w:b/>
                <w:color w:val="C00000"/>
                <w:sz w:val="40"/>
                <w:szCs w:val="40"/>
              </w:rPr>
            </w:pPr>
            <w:r>
              <w:rPr>
                <w:rFonts w:ascii="Times" w:hAnsi="Times" w:cs="Arial"/>
                <w:b/>
                <w:color w:val="C00000"/>
                <w:sz w:val="40"/>
                <w:szCs w:val="40"/>
              </w:rPr>
              <w:t xml:space="preserve">SRF </w:t>
            </w:r>
            <w:proofErr w:type="spellStart"/>
            <w:r>
              <w:rPr>
                <w:rFonts w:ascii="Times" w:hAnsi="Times" w:cs="Arial"/>
                <w:b/>
                <w:color w:val="C00000"/>
                <w:sz w:val="40"/>
                <w:szCs w:val="40"/>
              </w:rPr>
              <w:t>Cryomodule</w:t>
            </w:r>
            <w:proofErr w:type="spellEnd"/>
            <w:r>
              <w:rPr>
                <w:rFonts w:ascii="Times" w:hAnsi="Times" w:cs="Arial"/>
                <w:b/>
                <w:color w:val="C00000"/>
                <w:sz w:val="40"/>
                <w:szCs w:val="40"/>
              </w:rPr>
              <w:t xml:space="preserve"> Assembly</w:t>
            </w:r>
          </w:p>
          <w:p w14:paraId="6FB20C2D" w14:textId="77777777" w:rsidR="00B43C3C" w:rsidRPr="00000CC0" w:rsidRDefault="00B43C3C" w:rsidP="00992CE4">
            <w:pPr>
              <w:jc w:val="center"/>
              <w:rPr>
                <w:rFonts w:ascii="Times" w:hAnsi="Times" w:cs="Arial"/>
                <w:b/>
                <w:color w:val="C00000"/>
              </w:rPr>
            </w:pPr>
          </w:p>
        </w:tc>
      </w:tr>
      <w:tr w:rsidR="00B43C3C" w:rsidRPr="001308A1" w14:paraId="22636F8C" w14:textId="77777777" w:rsidTr="00992CE4">
        <w:trPr>
          <w:jc w:val="center"/>
        </w:trPr>
        <w:tc>
          <w:tcPr>
            <w:tcW w:w="2365" w:type="dxa"/>
            <w:tcBorders>
              <w:top w:val="single" w:sz="18" w:space="0" w:color="000000"/>
              <w:left w:val="nil"/>
              <w:bottom w:val="nil"/>
              <w:right w:val="nil"/>
            </w:tcBorders>
            <w:vAlign w:val="center"/>
          </w:tcPr>
          <w:p w14:paraId="77DBF3F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4C2B6322" w14:textId="5F80F9C4" w:rsidR="00B43C3C" w:rsidRPr="00CD6178" w:rsidRDefault="00BD1F29" w:rsidP="00A10A77">
            <w:pPr>
              <w:rPr>
                <w:rFonts w:ascii="Times" w:hAnsi="Times"/>
                <w:color w:val="auto"/>
                <w:sz w:val="20"/>
                <w:szCs w:val="20"/>
              </w:rPr>
            </w:pPr>
            <w:r>
              <w:rPr>
                <w:rFonts w:cs="Arial"/>
                <w:sz w:val="20"/>
                <w:szCs w:val="20"/>
              </w:rPr>
              <w:t>CP-L2HE</w:t>
            </w:r>
            <w:r w:rsidR="001744AD">
              <w:rPr>
                <w:rFonts w:cs="Arial"/>
                <w:sz w:val="20"/>
                <w:szCs w:val="20"/>
              </w:rPr>
              <w:t>-CM-</w:t>
            </w:r>
            <w:r w:rsidR="003B03C6">
              <w:rPr>
                <w:rFonts w:cs="Arial"/>
                <w:sz w:val="20"/>
                <w:szCs w:val="20"/>
              </w:rPr>
              <w:t>CS2UCM</w:t>
            </w:r>
            <w:r w:rsidR="001744AD">
              <w:rPr>
                <w:rFonts w:cs="Arial"/>
                <w:sz w:val="20"/>
                <w:szCs w:val="20"/>
              </w:rPr>
              <w:t>ALIGN</w:t>
            </w:r>
            <w:r w:rsidR="004622D0">
              <w:rPr>
                <w:rFonts w:cs="Arial"/>
                <w:sz w:val="20"/>
                <w:szCs w:val="20"/>
              </w:rPr>
              <w:t>2</w:t>
            </w:r>
          </w:p>
        </w:tc>
        <w:tc>
          <w:tcPr>
            <w:tcW w:w="2223" w:type="dxa"/>
            <w:tcBorders>
              <w:top w:val="single" w:sz="18" w:space="0" w:color="000000"/>
              <w:left w:val="nil"/>
              <w:bottom w:val="nil"/>
              <w:right w:val="nil"/>
            </w:tcBorders>
            <w:vAlign w:val="center"/>
          </w:tcPr>
          <w:p w14:paraId="3786FAE0"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50532FF3" w14:textId="58F8043E" w:rsidR="00B43C3C" w:rsidRPr="001308A1" w:rsidRDefault="003B03C6" w:rsidP="00636653">
            <w:pPr>
              <w:rPr>
                <w:rFonts w:ascii="Times" w:hAnsi="Times"/>
                <w:color w:val="auto"/>
                <w:sz w:val="20"/>
                <w:szCs w:val="20"/>
              </w:rPr>
            </w:pPr>
            <w:r>
              <w:rPr>
                <w:rFonts w:ascii="Times" w:hAnsi="Times"/>
                <w:color w:val="auto"/>
                <w:sz w:val="20"/>
                <w:szCs w:val="20"/>
              </w:rPr>
              <w:t>11</w:t>
            </w:r>
            <w:r w:rsidR="00BD1F29">
              <w:rPr>
                <w:rFonts w:ascii="Times" w:hAnsi="Times"/>
                <w:color w:val="auto"/>
                <w:sz w:val="20"/>
                <w:szCs w:val="20"/>
              </w:rPr>
              <w:t>-7-2023</w:t>
            </w:r>
          </w:p>
        </w:tc>
      </w:tr>
      <w:tr w:rsidR="00B43C3C" w:rsidRPr="001308A1" w14:paraId="2DEAD747" w14:textId="77777777" w:rsidTr="00992CE4">
        <w:trPr>
          <w:jc w:val="center"/>
        </w:trPr>
        <w:tc>
          <w:tcPr>
            <w:tcW w:w="2365" w:type="dxa"/>
            <w:tcBorders>
              <w:top w:val="nil"/>
              <w:left w:val="nil"/>
              <w:bottom w:val="nil"/>
              <w:right w:val="nil"/>
            </w:tcBorders>
            <w:vAlign w:val="center"/>
          </w:tcPr>
          <w:p w14:paraId="5BBB0169"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3031F1C9" w14:textId="77777777"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0715814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5F0DC27B" w14:textId="77777777"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A46D824" w14:textId="77777777" w:rsidTr="00992CE4">
        <w:trPr>
          <w:jc w:val="center"/>
        </w:trPr>
        <w:tc>
          <w:tcPr>
            <w:tcW w:w="2365" w:type="dxa"/>
            <w:tcBorders>
              <w:top w:val="nil"/>
              <w:left w:val="nil"/>
              <w:bottom w:val="single" w:sz="12" w:space="0" w:color="auto"/>
              <w:right w:val="nil"/>
            </w:tcBorders>
            <w:vAlign w:val="center"/>
          </w:tcPr>
          <w:p w14:paraId="25519C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46EEC9CC" w14:textId="23F04150" w:rsidR="00B43C3C" w:rsidRPr="001308A1" w:rsidRDefault="00BD1F29" w:rsidP="00856CD8">
            <w:pPr>
              <w:rPr>
                <w:rFonts w:ascii="Times" w:hAnsi="Times"/>
                <w:color w:val="auto"/>
                <w:sz w:val="20"/>
                <w:szCs w:val="20"/>
              </w:rPr>
            </w:pPr>
            <w:r>
              <w:rPr>
                <w:rFonts w:cs="Arial"/>
                <w:sz w:val="20"/>
                <w:szCs w:val="20"/>
              </w:rPr>
              <w:t>Steve Hardisty/John Fischer</w:t>
            </w:r>
          </w:p>
        </w:tc>
        <w:tc>
          <w:tcPr>
            <w:tcW w:w="2223" w:type="dxa"/>
            <w:tcBorders>
              <w:top w:val="nil"/>
              <w:left w:val="nil"/>
              <w:bottom w:val="single" w:sz="12" w:space="0" w:color="auto"/>
              <w:right w:val="nil"/>
            </w:tcBorders>
            <w:vAlign w:val="center"/>
          </w:tcPr>
          <w:p w14:paraId="51C08062" w14:textId="77777777"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610A114E" w14:textId="77777777"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012F981A" w14:textId="77777777" w:rsidTr="00992CE4">
        <w:trPr>
          <w:trHeight w:val="22"/>
          <w:jc w:val="center"/>
        </w:trPr>
        <w:tc>
          <w:tcPr>
            <w:tcW w:w="10183" w:type="dxa"/>
            <w:gridSpan w:val="4"/>
            <w:tcBorders>
              <w:top w:val="nil"/>
              <w:left w:val="nil"/>
              <w:bottom w:val="single" w:sz="12" w:space="0" w:color="auto"/>
              <w:right w:val="nil"/>
            </w:tcBorders>
            <w:vAlign w:val="center"/>
          </w:tcPr>
          <w:p w14:paraId="6ADED21D" w14:textId="77777777" w:rsidR="00B43C3C" w:rsidRPr="00853845" w:rsidRDefault="00B43C3C" w:rsidP="00635B7C">
            <w:pPr>
              <w:tabs>
                <w:tab w:val="left" w:pos="117"/>
              </w:tabs>
              <w:ind w:left="477"/>
              <w:jc w:val="both"/>
              <w:rPr>
                <w:rFonts w:ascii="Times" w:hAnsi="Times"/>
                <w:color w:val="auto"/>
                <w:sz w:val="20"/>
                <w:szCs w:val="20"/>
              </w:rPr>
            </w:pPr>
          </w:p>
        </w:tc>
      </w:tr>
    </w:tbl>
    <w:p w14:paraId="19EAD0C6" w14:textId="77777777" w:rsidR="00B65C67" w:rsidRPr="001308A1" w:rsidRDefault="00B65C67" w:rsidP="006F708C">
      <w:pPr>
        <w:tabs>
          <w:tab w:val="left" w:pos="2250"/>
        </w:tabs>
        <w:rPr>
          <w:rFonts w:ascii="Times" w:hAnsi="Times"/>
          <w:color w:val="auto"/>
          <w:sz w:val="20"/>
          <w:szCs w:val="20"/>
        </w:rPr>
      </w:pPr>
    </w:p>
    <w:p w14:paraId="6057FFAA" w14:textId="77777777" w:rsidR="002169BB" w:rsidRPr="00B43C3C" w:rsidRDefault="00856CD8" w:rsidP="00B43C3C">
      <w:pPr>
        <w:pStyle w:val="Heading1"/>
      </w:pPr>
      <w:bookmarkStart w:id="1" w:name="_Purpose"/>
      <w:bookmarkEnd w:id="0"/>
      <w:bookmarkEnd w:id="1"/>
      <w:r>
        <w:t xml:space="preserve">Purpose </w:t>
      </w:r>
      <w:r w:rsidR="001744AD">
        <w:t>and Scope</w:t>
      </w:r>
    </w:p>
    <w:p w14:paraId="2AF809E4" w14:textId="77777777" w:rsidR="00B43C3C" w:rsidRPr="000508A6" w:rsidRDefault="00B43C3C" w:rsidP="000508A6"/>
    <w:p w14:paraId="08A04BFE" w14:textId="7B4737D1" w:rsidR="003D67BE" w:rsidRPr="000508A6" w:rsidRDefault="003C1F69" w:rsidP="000508A6">
      <w:r w:rsidRPr="000508A6">
        <w:t>The purpose of this document</w:t>
      </w:r>
      <w:r w:rsidR="0068082E" w:rsidRPr="000508A6">
        <w:t xml:space="preserve"> </w:t>
      </w:r>
      <w:r w:rsidR="001744AD">
        <w:t xml:space="preserve">is to describe the Alignment Procedure when </w:t>
      </w:r>
      <w:r w:rsidR="00BD1F29">
        <w:t xml:space="preserve">assembling the L2HE </w:t>
      </w:r>
      <w:proofErr w:type="spellStart"/>
      <w:r w:rsidR="001744AD">
        <w:t>Cryomodules</w:t>
      </w:r>
      <w:proofErr w:type="spellEnd"/>
      <w:r w:rsidR="00BD1F29">
        <w:t>. The</w:t>
      </w:r>
      <w:r w:rsidR="003B03C6">
        <w:t xml:space="preserve"> work begins after the Cavity String has been attached to the UCM</w:t>
      </w:r>
      <w:r w:rsidR="00BD1F29">
        <w:t xml:space="preserve"> and </w:t>
      </w:r>
      <w:r w:rsidR="003B03C6">
        <w:t>rev</w:t>
      </w:r>
      <w:r w:rsidR="004622D0">
        <w:t>i</w:t>
      </w:r>
      <w:r w:rsidR="003B03C6">
        <w:t xml:space="preserve">ewed </w:t>
      </w:r>
      <w:r w:rsidR="00BD1F29">
        <w:t>by the CMA Technical Staff.</w:t>
      </w:r>
      <w:r w:rsidR="00595523">
        <w:t xml:space="preserve"> The Alignment data is captured in the Alignment Spread Sheet and uploaded into the appropriate Assembly Traveler for record.</w:t>
      </w:r>
    </w:p>
    <w:p w14:paraId="089012CA" w14:textId="77777777" w:rsidR="00856CD8" w:rsidRDefault="00856CD8" w:rsidP="001744AD">
      <w:pPr>
        <w:tabs>
          <w:tab w:val="left" w:pos="2175"/>
        </w:tabs>
      </w:pPr>
    </w:p>
    <w:p w14:paraId="1A2D75C0" w14:textId="77777777" w:rsidR="00856CD8" w:rsidRDefault="001E638F" w:rsidP="00856CD8">
      <w:pPr>
        <w:pStyle w:val="Heading1"/>
      </w:pPr>
      <w:r>
        <w:t xml:space="preserve">Terms, </w:t>
      </w:r>
      <w:r w:rsidR="00856CD8">
        <w:t>Definitions</w:t>
      </w:r>
      <w:r>
        <w:t>, and Reference Docs</w:t>
      </w:r>
      <w:r w:rsidR="00856CD8">
        <w:t xml:space="preserve"> </w:t>
      </w:r>
    </w:p>
    <w:p w14:paraId="5D0AFA39" w14:textId="77777777" w:rsidR="00A25FFC" w:rsidRDefault="00A25FFC" w:rsidP="00A10A77"/>
    <w:p w14:paraId="467EA791" w14:textId="77777777" w:rsidR="00503CC3" w:rsidRDefault="00BD1F29" w:rsidP="00A10A77">
      <w:r>
        <w:t>Cold Mass-partial assembly the includes the upper cold mass and cavit</w:t>
      </w:r>
      <w:r w:rsidR="00503CC3">
        <w:t>ies</w:t>
      </w:r>
    </w:p>
    <w:p w14:paraId="770AF2FE" w14:textId="3456126E" w:rsidR="002B16B9" w:rsidRDefault="00612A32" w:rsidP="00A10A77">
      <w:hyperlink r:id="rId11" w:history="1">
        <w:r w:rsidR="009E6949" w:rsidRPr="009E6949">
          <w:rPr>
            <w:rStyle w:val="Hyperlink"/>
          </w:rPr>
          <w:t xml:space="preserve">F10127855_A_CM Top </w:t>
        </w:r>
        <w:proofErr w:type="spellStart"/>
        <w:r w:rsidR="009E6949" w:rsidRPr="009E6949">
          <w:rPr>
            <w:rStyle w:val="Hyperlink"/>
          </w:rPr>
          <w:t>Assy</w:t>
        </w:r>
        <w:proofErr w:type="spellEnd"/>
        <w:r w:rsidR="009E6949" w:rsidRPr="009E6949">
          <w:rPr>
            <w:rStyle w:val="Hyperlink"/>
          </w:rPr>
          <w:t xml:space="preserve"> </w:t>
        </w:r>
        <w:proofErr w:type="spellStart"/>
        <w:r w:rsidR="009E6949" w:rsidRPr="009E6949">
          <w:rPr>
            <w:rStyle w:val="Hyperlink"/>
          </w:rPr>
          <w:t>Dwg</w:t>
        </w:r>
        <w:proofErr w:type="spellEnd"/>
      </w:hyperlink>
    </w:p>
    <w:p w14:paraId="650DCC65" w14:textId="4168D7A6" w:rsidR="009E6949" w:rsidRDefault="00612A32" w:rsidP="00A10A77">
      <w:hyperlink r:id="rId12" w:history="1">
        <w:r w:rsidR="009E6949" w:rsidRPr="009E6949">
          <w:rPr>
            <w:rStyle w:val="Hyperlink"/>
          </w:rPr>
          <w:t xml:space="preserve">F10127864-A-Cold Mass </w:t>
        </w:r>
        <w:proofErr w:type="spellStart"/>
        <w:r w:rsidR="009E6949" w:rsidRPr="009E6949">
          <w:rPr>
            <w:rStyle w:val="Hyperlink"/>
          </w:rPr>
          <w:t>Dwg</w:t>
        </w:r>
        <w:proofErr w:type="spellEnd"/>
      </w:hyperlink>
    </w:p>
    <w:p w14:paraId="7A18FA9F" w14:textId="77777777" w:rsidR="00A25FFC" w:rsidRDefault="00A25FFC" w:rsidP="00A10A77"/>
    <w:p w14:paraId="2B53ABCF" w14:textId="77777777" w:rsidR="004704CF" w:rsidRDefault="004704CF" w:rsidP="00B43C3C">
      <w:pPr>
        <w:pStyle w:val="Heading1"/>
      </w:pPr>
      <w:r w:rsidRPr="001308A1">
        <w:t xml:space="preserve">Roles </w:t>
      </w:r>
      <w:r w:rsidR="00856CD8">
        <w:t>and</w:t>
      </w:r>
      <w:r w:rsidRPr="001308A1">
        <w:t xml:space="preserve"> Responsibilities</w:t>
      </w:r>
    </w:p>
    <w:p w14:paraId="43F2FC64" w14:textId="77777777" w:rsidR="004704CF" w:rsidRDefault="004704CF" w:rsidP="004704CF"/>
    <w:p w14:paraId="5BC95A26" w14:textId="77777777" w:rsidR="00EA0C02" w:rsidRPr="00EA0C02" w:rsidRDefault="00EA0C02" w:rsidP="00EA0C02">
      <w:r w:rsidRPr="00EA0C02">
        <w:t>The following actions are to be performed by knowledgeable, authorized Technicians only. Consult the Group Lead for details.</w:t>
      </w:r>
    </w:p>
    <w:p w14:paraId="56944B21" w14:textId="77777777" w:rsidR="00D77923" w:rsidRDefault="00D77923" w:rsidP="004704CF"/>
    <w:p w14:paraId="12131D56" w14:textId="77777777" w:rsidR="004704CF" w:rsidRPr="0068082E" w:rsidRDefault="004704CF" w:rsidP="00FA156D">
      <w:pPr>
        <w:rPr>
          <w:rFonts w:ascii="Times" w:hAnsi="Times"/>
        </w:rPr>
      </w:pPr>
    </w:p>
    <w:p w14:paraId="025938C0" w14:textId="77777777" w:rsidR="00B61916" w:rsidRPr="00CA4360" w:rsidRDefault="009839B6" w:rsidP="00B43C3C">
      <w:pPr>
        <w:pStyle w:val="Heading1"/>
      </w:pPr>
      <w:r>
        <w:t>Procedure</w:t>
      </w:r>
    </w:p>
    <w:p w14:paraId="33E2BC52" w14:textId="77777777" w:rsidR="00B61916" w:rsidRDefault="00B61916">
      <w:pPr>
        <w:rPr>
          <w:rFonts w:ascii="Times" w:hAnsi="Times"/>
        </w:rPr>
      </w:pPr>
    </w:p>
    <w:p w14:paraId="043D2F2A" w14:textId="77777777" w:rsidR="00D10EA2" w:rsidRDefault="00D10EA2" w:rsidP="00D10EA2">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t>Steps in alignment of LCLS2 UCM and string</w:t>
      </w:r>
    </w:p>
    <w:p w14:paraId="3A47018D" w14:textId="77777777" w:rsidR="00D10EA2" w:rsidRDefault="00D10EA2" w:rsidP="00D10EA2">
      <w:pPr>
        <w:pStyle w:val="ListParagraph"/>
        <w:numPr>
          <w:ilvl w:val="0"/>
          <w:numId w:val="40"/>
        </w:numPr>
        <w:spacing w:after="160" w:line="259" w:lineRule="auto"/>
      </w:pPr>
      <w:r>
        <w:t>Since the cavity must not twist while it is moving, two technicians must work together on either side of the string to provide pure translations, x, y and z.</w:t>
      </w:r>
    </w:p>
    <w:p w14:paraId="511346E7" w14:textId="77777777" w:rsidR="00D10EA2" w:rsidRDefault="00D10EA2" w:rsidP="00D10EA2">
      <w:pPr>
        <w:pStyle w:val="ListParagraph"/>
        <w:numPr>
          <w:ilvl w:val="0"/>
          <w:numId w:val="40"/>
        </w:numPr>
        <w:spacing w:after="160" w:line="259" w:lineRule="auto"/>
      </w:pPr>
      <w:r>
        <w:t>Loosen jam nuts on z locking screws on all cavities</w:t>
      </w:r>
    </w:p>
    <w:p w14:paraId="6B93ED19" w14:textId="77777777" w:rsidR="00D10EA2" w:rsidRDefault="00D10EA2" w:rsidP="00D10EA2">
      <w:pPr>
        <w:pStyle w:val="ListParagraph"/>
        <w:numPr>
          <w:ilvl w:val="1"/>
          <w:numId w:val="40"/>
        </w:numPr>
        <w:spacing w:after="160" w:line="259" w:lineRule="auto"/>
      </w:pPr>
      <w:r>
        <w:t>Verify all z locking screws are finger tight.</w:t>
      </w:r>
    </w:p>
    <w:p w14:paraId="24FBC87A" w14:textId="77777777" w:rsidR="00D10EA2" w:rsidRDefault="00D10EA2" w:rsidP="00D10EA2">
      <w:pPr>
        <w:pStyle w:val="ListParagraph"/>
        <w:numPr>
          <w:ilvl w:val="0"/>
          <w:numId w:val="40"/>
        </w:numPr>
        <w:spacing w:after="160" w:line="259" w:lineRule="auto"/>
      </w:pPr>
      <w:r>
        <w:t>Loosen the clamps on the invar rods to allow the cavities to move in Z</w:t>
      </w:r>
    </w:p>
    <w:p w14:paraId="6A46B57A" w14:textId="77777777" w:rsidR="00D10EA2" w:rsidRDefault="00D10EA2" w:rsidP="00D10EA2">
      <w:pPr>
        <w:pStyle w:val="ListParagraph"/>
        <w:ind w:left="792"/>
      </w:pPr>
    </w:p>
    <w:p w14:paraId="35ACFC43" w14:textId="77777777" w:rsidR="00D10EA2" w:rsidRDefault="00D10EA2" w:rsidP="00D10EA2">
      <w:pPr>
        <w:pStyle w:val="ListParagraph"/>
        <w:numPr>
          <w:ilvl w:val="0"/>
          <w:numId w:val="40"/>
        </w:numPr>
        <w:spacing w:after="160" w:line="259" w:lineRule="auto"/>
      </w:pPr>
      <w:r>
        <w:t>Course set Z direction</w:t>
      </w:r>
    </w:p>
    <w:p w14:paraId="4856623E" w14:textId="77777777" w:rsidR="00D10EA2" w:rsidRDefault="00D10EA2" w:rsidP="00D10EA2">
      <w:pPr>
        <w:pStyle w:val="ListParagraph"/>
        <w:numPr>
          <w:ilvl w:val="1"/>
          <w:numId w:val="40"/>
        </w:numPr>
        <w:spacing w:after="160" w:line="259" w:lineRule="auto"/>
      </w:pPr>
      <w:r>
        <w:t>Work from cavity 4 out to the ends, starting with the flange next to the helium pipe on cavity 4.</w:t>
      </w:r>
    </w:p>
    <w:p w14:paraId="3503BE70" w14:textId="77777777" w:rsidR="00D10EA2" w:rsidRDefault="00D10EA2" w:rsidP="00D10EA2">
      <w:pPr>
        <w:pStyle w:val="ListParagraph"/>
        <w:numPr>
          <w:ilvl w:val="1"/>
          <w:numId w:val="40"/>
        </w:numPr>
        <w:spacing w:after="160" w:line="259" w:lineRule="auto"/>
      </w:pPr>
      <w:r>
        <w:t xml:space="preserve">After the S&amp;A technician tells you which direction the cavity needs to go, </w:t>
      </w:r>
    </w:p>
    <w:p w14:paraId="6BADA753" w14:textId="77777777" w:rsidR="00D10EA2" w:rsidRDefault="00D10EA2" w:rsidP="00D10EA2">
      <w:pPr>
        <w:pStyle w:val="ListParagraph"/>
        <w:numPr>
          <w:ilvl w:val="2"/>
          <w:numId w:val="40"/>
        </w:numPr>
        <w:spacing w:after="160" w:line="259" w:lineRule="auto"/>
      </w:pPr>
      <w:r>
        <w:lastRenderedPageBreak/>
        <w:t>Loosen the screws on the z locking plates on the upstream end of the cavity</w:t>
      </w:r>
    </w:p>
    <w:p w14:paraId="7FF916C8" w14:textId="77777777" w:rsidR="00D10EA2" w:rsidRDefault="00D10EA2" w:rsidP="00D10EA2">
      <w:pPr>
        <w:pStyle w:val="ListParagraph"/>
        <w:numPr>
          <w:ilvl w:val="2"/>
          <w:numId w:val="40"/>
        </w:numPr>
        <w:spacing w:after="160" w:line="259" w:lineRule="auto"/>
      </w:pPr>
      <w:r>
        <w:t xml:space="preserve">Loosen the z locking plate screw on the downstream end on the side the cavity needs to move; i.e. if it needs to move north, loosen the screw on the north side of the downstream bearing block.  </w:t>
      </w:r>
    </w:p>
    <w:p w14:paraId="11EBEBC6" w14:textId="77777777" w:rsidR="00D10EA2" w:rsidRDefault="00D10EA2" w:rsidP="00D10EA2">
      <w:pPr>
        <w:pStyle w:val="ListParagraph"/>
        <w:numPr>
          <w:ilvl w:val="2"/>
          <w:numId w:val="40"/>
        </w:numPr>
        <w:spacing w:after="160" w:line="259" w:lineRule="auto"/>
      </w:pPr>
      <w:r>
        <w:t>Use the appropriate screw in the downstream bearing block to drive the cavity in the direction alignment says it needs to go.  North screw to go south, south screw to go north.</w:t>
      </w:r>
    </w:p>
    <w:p w14:paraId="22C0BAD0" w14:textId="77777777" w:rsidR="00D10EA2" w:rsidRDefault="00D10EA2" w:rsidP="00D10EA2">
      <w:pPr>
        <w:pStyle w:val="ListParagraph"/>
        <w:numPr>
          <w:ilvl w:val="2"/>
          <w:numId w:val="40"/>
        </w:numPr>
        <w:spacing w:after="160" w:line="259" w:lineRule="auto"/>
      </w:pPr>
      <w:r>
        <w:t>Both technicians must adjust their screws by the same amount at the same time.</w:t>
      </w:r>
    </w:p>
    <w:p w14:paraId="56CB73A9" w14:textId="77777777" w:rsidR="00D10EA2" w:rsidRDefault="00D10EA2" w:rsidP="00D10EA2">
      <w:pPr>
        <w:pStyle w:val="ListParagraph"/>
        <w:numPr>
          <w:ilvl w:val="1"/>
          <w:numId w:val="40"/>
        </w:numPr>
        <w:spacing w:after="160" w:line="259" w:lineRule="auto"/>
      </w:pPr>
      <w:r>
        <w:t>S&amp;A will verify that the cavity is at the correct position at Z.</w:t>
      </w:r>
    </w:p>
    <w:p w14:paraId="5620F9C7" w14:textId="77777777" w:rsidR="00D10EA2" w:rsidRDefault="00D10EA2" w:rsidP="00D10EA2">
      <w:pPr>
        <w:pStyle w:val="ListParagraph"/>
        <w:numPr>
          <w:ilvl w:val="1"/>
          <w:numId w:val="40"/>
        </w:numPr>
        <w:spacing w:after="160" w:line="259" w:lineRule="auto"/>
      </w:pPr>
      <w:r>
        <w:t xml:space="preserve">Hand tighten all the Z locking screws. </w:t>
      </w:r>
    </w:p>
    <w:p w14:paraId="4A1B29E6" w14:textId="77777777" w:rsidR="00D10EA2" w:rsidRDefault="00D10EA2" w:rsidP="00D10EA2">
      <w:pPr>
        <w:pStyle w:val="ListParagraph"/>
        <w:numPr>
          <w:ilvl w:val="0"/>
          <w:numId w:val="41"/>
        </w:numPr>
        <w:spacing w:after="160" w:line="259" w:lineRule="auto"/>
      </w:pPr>
      <w:r>
        <w:t>Not too tight since the blocks must slide by them while adjusting X and Y.</w:t>
      </w:r>
    </w:p>
    <w:p w14:paraId="0F2337E5" w14:textId="77777777" w:rsidR="00D10EA2" w:rsidRDefault="00D10EA2" w:rsidP="00D10EA2">
      <w:pPr>
        <w:pStyle w:val="ListParagraph"/>
        <w:numPr>
          <w:ilvl w:val="0"/>
          <w:numId w:val="41"/>
        </w:numPr>
        <w:spacing w:after="160" w:line="259" w:lineRule="auto"/>
      </w:pPr>
      <w:r>
        <w:t>Not too loose since they hold against the vacuum load while the Invar clamps are loose.</w:t>
      </w:r>
    </w:p>
    <w:p w14:paraId="55240FC7" w14:textId="77777777" w:rsidR="00D10EA2" w:rsidRDefault="00D10EA2" w:rsidP="00D10EA2">
      <w:pPr>
        <w:pStyle w:val="ListParagraph"/>
        <w:numPr>
          <w:ilvl w:val="1"/>
          <w:numId w:val="40"/>
        </w:numPr>
        <w:spacing w:after="160" w:line="259" w:lineRule="auto"/>
      </w:pPr>
      <w:r>
        <w:t xml:space="preserve">Move to cavity 3 and repeat. Continue to the next southerly cavity. </w:t>
      </w:r>
    </w:p>
    <w:p w14:paraId="637E18FC" w14:textId="77777777" w:rsidR="00D10EA2" w:rsidRDefault="00D10EA2" w:rsidP="00D10EA2">
      <w:pPr>
        <w:pStyle w:val="ListParagraph"/>
        <w:numPr>
          <w:ilvl w:val="1"/>
          <w:numId w:val="40"/>
        </w:numPr>
        <w:spacing w:after="160" w:line="259" w:lineRule="auto"/>
      </w:pPr>
      <w:r>
        <w:t>For cavity 1, the bearing blocks which holds the valve with the ion pump must be loosened also since the flange is bolted directly to the cavity.</w:t>
      </w:r>
    </w:p>
    <w:p w14:paraId="779177A0" w14:textId="77777777" w:rsidR="00D10EA2" w:rsidRDefault="00D10EA2" w:rsidP="00D10EA2">
      <w:pPr>
        <w:pStyle w:val="ListParagraph"/>
        <w:numPr>
          <w:ilvl w:val="2"/>
          <w:numId w:val="40"/>
        </w:numPr>
        <w:spacing w:after="160" w:line="259" w:lineRule="auto"/>
      </w:pPr>
      <w:r>
        <w:t xml:space="preserve"> To move in the Z direction the valve bearing block just needs to be loose. </w:t>
      </w:r>
    </w:p>
    <w:p w14:paraId="22A72D89" w14:textId="77777777" w:rsidR="00D10EA2" w:rsidRDefault="00D10EA2" w:rsidP="00D10EA2">
      <w:pPr>
        <w:pStyle w:val="ListParagraph"/>
        <w:numPr>
          <w:ilvl w:val="1"/>
          <w:numId w:val="40"/>
        </w:numPr>
        <w:spacing w:after="160" w:line="259" w:lineRule="auto"/>
      </w:pPr>
      <w:r>
        <w:t xml:space="preserve">Repeat steps 4.2 to 4.4. </w:t>
      </w:r>
      <w:proofErr w:type="gramStart"/>
      <w:r>
        <w:t>for</w:t>
      </w:r>
      <w:proofErr w:type="gramEnd"/>
      <w:r>
        <w:t xml:space="preserve"> cavities 6 through 8.</w:t>
      </w:r>
    </w:p>
    <w:p w14:paraId="028AB6B7" w14:textId="77777777" w:rsidR="00D10EA2" w:rsidRDefault="00D10EA2" w:rsidP="00D10EA2">
      <w:pPr>
        <w:pStyle w:val="ListParagraph"/>
        <w:numPr>
          <w:ilvl w:val="1"/>
          <w:numId w:val="40"/>
        </w:numPr>
        <w:spacing w:after="160" w:line="259" w:lineRule="auto"/>
      </w:pPr>
      <w:r>
        <w:t xml:space="preserve">When you reach the quad, loosen the z axis locking nuts and screws on the bearing blocks on the gate valve and quad until they are hand tight.  Loosen the lock screws to allow the quad to move in the direction of the adjustment and then use the screw on both sides of the quad </w:t>
      </w:r>
      <w:r w:rsidRPr="00E75053">
        <w:rPr>
          <w:u w:val="single"/>
        </w:rPr>
        <w:t>simultaneously</w:t>
      </w:r>
      <w:r>
        <w:t xml:space="preserve"> to drive the magnet to within 50 microns of the final coordinates.  </w:t>
      </w:r>
    </w:p>
    <w:p w14:paraId="1E904B12" w14:textId="77777777" w:rsidR="00D10EA2" w:rsidRDefault="00D10EA2" w:rsidP="00D10EA2">
      <w:pPr>
        <w:pStyle w:val="ListParagraph"/>
        <w:ind w:left="360"/>
      </w:pPr>
    </w:p>
    <w:p w14:paraId="209CBB0C" w14:textId="77777777" w:rsidR="00D10EA2" w:rsidRDefault="00D10EA2" w:rsidP="00D10EA2">
      <w:pPr>
        <w:pStyle w:val="ListParagraph"/>
        <w:numPr>
          <w:ilvl w:val="0"/>
          <w:numId w:val="40"/>
        </w:numPr>
        <w:spacing w:after="160" w:line="259" w:lineRule="auto"/>
      </w:pPr>
      <w:r>
        <w:t>Course set X direction</w:t>
      </w:r>
    </w:p>
    <w:p w14:paraId="37C08D1B" w14:textId="77777777" w:rsidR="00D10EA2" w:rsidRDefault="00D10EA2" w:rsidP="00D10EA2">
      <w:pPr>
        <w:pStyle w:val="ListParagraph"/>
        <w:numPr>
          <w:ilvl w:val="1"/>
          <w:numId w:val="40"/>
        </w:numPr>
        <w:spacing w:after="160" w:line="259" w:lineRule="auto"/>
      </w:pPr>
      <w:r>
        <w:t>Work from cavity 4 out to the ends, starting with the flange next to the helium pipe on cavity 4.</w:t>
      </w:r>
    </w:p>
    <w:p w14:paraId="70F2252A" w14:textId="77777777" w:rsidR="00D10EA2" w:rsidRDefault="00D10EA2" w:rsidP="00D10EA2">
      <w:pPr>
        <w:pStyle w:val="ListParagraph"/>
        <w:numPr>
          <w:ilvl w:val="1"/>
          <w:numId w:val="40"/>
        </w:numPr>
        <w:spacing w:after="160" w:line="259" w:lineRule="auto"/>
      </w:pPr>
      <w:r>
        <w:t xml:space="preserve">Check the fiducials to determine which way the cavity end needs to move </w:t>
      </w:r>
    </w:p>
    <w:p w14:paraId="1488ACBA" w14:textId="77777777" w:rsidR="00D10EA2" w:rsidRDefault="00D10EA2" w:rsidP="00D10EA2">
      <w:pPr>
        <w:pStyle w:val="ListParagraph"/>
        <w:numPr>
          <w:ilvl w:val="1"/>
          <w:numId w:val="40"/>
        </w:numPr>
        <w:spacing w:after="160" w:line="259" w:lineRule="auto"/>
      </w:pPr>
      <w:r>
        <w:t>If the top and bottom fiducials call out different values, split the difference</w:t>
      </w:r>
    </w:p>
    <w:p w14:paraId="5A5727C5" w14:textId="77777777" w:rsidR="00D10EA2" w:rsidRDefault="00D10EA2" w:rsidP="00D10EA2">
      <w:pPr>
        <w:pStyle w:val="ListParagraph"/>
        <w:numPr>
          <w:ilvl w:val="1"/>
          <w:numId w:val="40"/>
        </w:numPr>
        <w:spacing w:after="160" w:line="259" w:lineRule="auto"/>
      </w:pPr>
      <w:r>
        <w:t>Loosen the locking screws or spring loaded brass hardware on the X axis in the direction the cavity needs to travel</w:t>
      </w:r>
    </w:p>
    <w:p w14:paraId="5C9DA65A" w14:textId="77777777" w:rsidR="00D10EA2" w:rsidRDefault="00D10EA2" w:rsidP="00D10EA2">
      <w:pPr>
        <w:pStyle w:val="ListParagraph"/>
        <w:numPr>
          <w:ilvl w:val="1"/>
          <w:numId w:val="40"/>
        </w:numPr>
        <w:spacing w:after="160" w:line="259" w:lineRule="auto"/>
      </w:pPr>
      <w:r>
        <w:t xml:space="preserve">Tighten the hardware on the side of the bearing block to drive the cavity in the correct direction.  </w:t>
      </w:r>
    </w:p>
    <w:p w14:paraId="2703B937" w14:textId="77777777" w:rsidR="00D10EA2" w:rsidRDefault="00D10EA2" w:rsidP="00D10EA2">
      <w:pPr>
        <w:pStyle w:val="ListParagraph"/>
        <w:numPr>
          <w:ilvl w:val="1"/>
          <w:numId w:val="40"/>
        </w:numPr>
        <w:spacing w:after="160" w:line="259" w:lineRule="auto"/>
      </w:pPr>
      <w:r>
        <w:t>When the cavity is in the correct position at one end, repeat the process at the other. The cavity will pivot as the upstream and downstream bearing blocks are adjusted. And all four screws (right, left, upstream downstream) will require adjustment to square the cavity up.</w:t>
      </w:r>
    </w:p>
    <w:p w14:paraId="54E549BF" w14:textId="77777777" w:rsidR="00D10EA2" w:rsidRDefault="00D10EA2" w:rsidP="00D10EA2">
      <w:pPr>
        <w:pStyle w:val="ListParagraph"/>
        <w:numPr>
          <w:ilvl w:val="1"/>
          <w:numId w:val="40"/>
        </w:numPr>
        <w:spacing w:after="160" w:line="259" w:lineRule="auto"/>
      </w:pPr>
      <w:r>
        <w:t>When both ends of the cavity are in the correct X position, hand tighten all the X alignment screws and locking nuts.</w:t>
      </w:r>
    </w:p>
    <w:p w14:paraId="7B4B0B43" w14:textId="77777777" w:rsidR="00D10EA2" w:rsidRDefault="00D10EA2" w:rsidP="00D10EA2">
      <w:pPr>
        <w:pStyle w:val="ListParagraph"/>
        <w:numPr>
          <w:ilvl w:val="1"/>
          <w:numId w:val="40"/>
        </w:numPr>
        <w:spacing w:after="160" w:line="259" w:lineRule="auto"/>
      </w:pPr>
      <w:r>
        <w:t>Recheck the alignment in X and hand adjust the screws and locking nuts to get within 50 microns.  Tighten locking screws to hand tight.  Tight spring loaded brass crews with torque wrench, not to exceed 70 inch-lb.</w:t>
      </w:r>
    </w:p>
    <w:p w14:paraId="08FBF23E" w14:textId="77777777" w:rsidR="00D10EA2" w:rsidRDefault="00D10EA2" w:rsidP="00D10EA2">
      <w:pPr>
        <w:pStyle w:val="ListParagraph"/>
        <w:numPr>
          <w:ilvl w:val="1"/>
          <w:numId w:val="40"/>
        </w:numPr>
        <w:spacing w:after="160" w:line="259" w:lineRule="auto"/>
      </w:pPr>
      <w:r>
        <w:t xml:space="preserve">Move to cavity 3 and repeat. Continue to the next southerly cavity. </w:t>
      </w:r>
    </w:p>
    <w:p w14:paraId="4488F363" w14:textId="77777777" w:rsidR="00D10EA2" w:rsidRDefault="00D10EA2" w:rsidP="00D10EA2">
      <w:pPr>
        <w:pStyle w:val="ListParagraph"/>
        <w:numPr>
          <w:ilvl w:val="1"/>
          <w:numId w:val="40"/>
        </w:numPr>
        <w:spacing w:after="160" w:line="259" w:lineRule="auto"/>
      </w:pPr>
      <w:r>
        <w:t>For cavity 1, the bearing blocks which holds the valve with the ion pump must be loosened also since the flange is bolted directly to the cavity.</w:t>
      </w:r>
    </w:p>
    <w:p w14:paraId="54EE0603" w14:textId="77777777" w:rsidR="00D10EA2" w:rsidRDefault="00D10EA2" w:rsidP="00D10EA2">
      <w:pPr>
        <w:pStyle w:val="ListParagraph"/>
        <w:numPr>
          <w:ilvl w:val="2"/>
          <w:numId w:val="40"/>
        </w:numPr>
        <w:spacing w:after="160" w:line="259" w:lineRule="auto"/>
      </w:pPr>
      <w:r>
        <w:t xml:space="preserve"> To move in the X direction the valve bearing block just needs to be loose. </w:t>
      </w:r>
    </w:p>
    <w:p w14:paraId="4A699441" w14:textId="77777777" w:rsidR="00D10EA2" w:rsidRDefault="00D10EA2" w:rsidP="00D10EA2">
      <w:pPr>
        <w:pStyle w:val="ListParagraph"/>
        <w:numPr>
          <w:ilvl w:val="1"/>
          <w:numId w:val="40"/>
        </w:numPr>
        <w:spacing w:after="160" w:line="259" w:lineRule="auto"/>
      </w:pPr>
      <w:r>
        <w:t xml:space="preserve">Repeat steps 5.2 to 5.8.  </w:t>
      </w:r>
      <w:proofErr w:type="gramStart"/>
      <w:r>
        <w:t>for</w:t>
      </w:r>
      <w:proofErr w:type="gramEnd"/>
      <w:r>
        <w:t xml:space="preserve"> cavities 6 through 8.</w:t>
      </w:r>
    </w:p>
    <w:p w14:paraId="4F69626C" w14:textId="77777777" w:rsidR="00D10EA2" w:rsidRDefault="00D10EA2" w:rsidP="00D10EA2">
      <w:pPr>
        <w:pStyle w:val="ListParagraph"/>
        <w:numPr>
          <w:ilvl w:val="1"/>
          <w:numId w:val="40"/>
        </w:numPr>
        <w:spacing w:after="160" w:line="259" w:lineRule="auto"/>
      </w:pPr>
      <w:r>
        <w:lastRenderedPageBreak/>
        <w:t xml:space="preserve">When you reach the quad, loosen the X axis locking nuts and screws on the bearing blocks on the gate valve and quad until they are hand tight.  Loosen the lock screws to allow the quad to move in the direction of the adjustment and then use the screw on the other side (right) of the quad to drive the magnet to within 50 microns of the final coordinates.  </w:t>
      </w:r>
    </w:p>
    <w:p w14:paraId="18F196CA" w14:textId="77777777" w:rsidR="00D10EA2" w:rsidRDefault="00D10EA2" w:rsidP="00D10EA2">
      <w:pPr>
        <w:pStyle w:val="ListParagraph"/>
        <w:numPr>
          <w:ilvl w:val="1"/>
          <w:numId w:val="40"/>
        </w:numPr>
        <w:spacing w:after="360" w:line="259" w:lineRule="auto"/>
        <w:contextualSpacing w:val="0"/>
      </w:pPr>
      <w:r>
        <w:t>Hand tighten the locking screws and brass spring loaded screws for the quad.</w:t>
      </w:r>
    </w:p>
    <w:p w14:paraId="073276CA" w14:textId="77777777" w:rsidR="00D10EA2" w:rsidRDefault="00D10EA2" w:rsidP="00D10EA2">
      <w:pPr>
        <w:pStyle w:val="ListParagraph"/>
        <w:numPr>
          <w:ilvl w:val="0"/>
          <w:numId w:val="40"/>
        </w:numPr>
        <w:spacing w:after="160" w:line="259" w:lineRule="auto"/>
      </w:pPr>
      <w:r>
        <w:t>Course set Y direction</w:t>
      </w:r>
    </w:p>
    <w:p w14:paraId="3603C7B9" w14:textId="77777777" w:rsidR="00D10EA2" w:rsidRDefault="00D10EA2" w:rsidP="00D10EA2">
      <w:pPr>
        <w:pStyle w:val="ListParagraph"/>
        <w:numPr>
          <w:ilvl w:val="1"/>
          <w:numId w:val="40"/>
        </w:numPr>
        <w:spacing w:after="160" w:line="259" w:lineRule="auto"/>
      </w:pPr>
      <w:r>
        <w:t>Work from cavity 4 out to the ends, starting with the flange next to the helium pipe on cavity 4.</w:t>
      </w:r>
    </w:p>
    <w:p w14:paraId="4A11E1B8" w14:textId="77777777" w:rsidR="00D10EA2" w:rsidRDefault="00D10EA2" w:rsidP="00D10EA2">
      <w:pPr>
        <w:pStyle w:val="ListParagraph"/>
        <w:numPr>
          <w:ilvl w:val="1"/>
          <w:numId w:val="40"/>
        </w:numPr>
        <w:spacing w:after="160" w:line="259" w:lineRule="auto"/>
      </w:pPr>
      <w:r>
        <w:t xml:space="preserve">Check the fiducials to determine which way the cavity end needs to move </w:t>
      </w:r>
    </w:p>
    <w:p w14:paraId="2B0D1DB2" w14:textId="77777777" w:rsidR="00D10EA2" w:rsidRDefault="00D10EA2" w:rsidP="00D10EA2">
      <w:pPr>
        <w:pStyle w:val="ListParagraph"/>
        <w:numPr>
          <w:ilvl w:val="1"/>
          <w:numId w:val="40"/>
        </w:numPr>
        <w:spacing w:after="160" w:line="259" w:lineRule="auto"/>
      </w:pPr>
      <w:r>
        <w:t>If the top and bottom fiducials call out different values, split the difference</w:t>
      </w:r>
    </w:p>
    <w:p w14:paraId="313904F0" w14:textId="77777777" w:rsidR="00D10EA2" w:rsidRDefault="00D10EA2" w:rsidP="00D10EA2">
      <w:pPr>
        <w:pStyle w:val="ListParagraph"/>
        <w:numPr>
          <w:ilvl w:val="1"/>
          <w:numId w:val="40"/>
        </w:numPr>
        <w:spacing w:after="160" w:line="259" w:lineRule="auto"/>
      </w:pPr>
      <w:r>
        <w:t>Loosen the locking screws or spring loaded brass hardware on the Y axis in the direction the cavity needs to travel</w:t>
      </w:r>
    </w:p>
    <w:p w14:paraId="737F4BC4" w14:textId="77777777" w:rsidR="00D10EA2" w:rsidRDefault="00D10EA2" w:rsidP="00D10EA2">
      <w:pPr>
        <w:pStyle w:val="ListParagraph"/>
        <w:numPr>
          <w:ilvl w:val="1"/>
          <w:numId w:val="40"/>
        </w:numPr>
        <w:spacing w:after="160" w:line="259" w:lineRule="auto"/>
      </w:pPr>
      <w:r>
        <w:t xml:space="preserve">TWO PEOPLE REQUIRED. One person on each bearing block. Simultaneously tighten the hardware on the bearing block to drive the cavity in the correct direction.  </w:t>
      </w:r>
    </w:p>
    <w:p w14:paraId="758AA393" w14:textId="77777777" w:rsidR="00D10EA2" w:rsidRDefault="00D10EA2" w:rsidP="00D10EA2">
      <w:pPr>
        <w:pStyle w:val="ListParagraph"/>
        <w:numPr>
          <w:ilvl w:val="1"/>
          <w:numId w:val="40"/>
        </w:numPr>
        <w:spacing w:after="160" w:line="259" w:lineRule="auto"/>
      </w:pPr>
      <w:r>
        <w:t>When the cavity is in the correct position at one end, repeat the process at the other. The cavity will pivot as the upstream and downstream bearing blocks are adjusted. And all four screws (right, left, upstream downstream) will require adjustment to square the cavity up. Remember to move the screws on the right and left bearing blocks simultaneously.</w:t>
      </w:r>
    </w:p>
    <w:p w14:paraId="62B22487" w14:textId="77777777" w:rsidR="00D10EA2" w:rsidRDefault="00D10EA2" w:rsidP="00D10EA2">
      <w:pPr>
        <w:pStyle w:val="ListParagraph"/>
        <w:numPr>
          <w:ilvl w:val="1"/>
          <w:numId w:val="40"/>
        </w:numPr>
        <w:spacing w:after="160" w:line="259" w:lineRule="auto"/>
      </w:pPr>
      <w:r>
        <w:t>When both ends of the cavity are in the correct Y position, hand tighten all the Y alignment screws and locking nuts.</w:t>
      </w:r>
    </w:p>
    <w:p w14:paraId="67303F0F" w14:textId="77777777" w:rsidR="00D10EA2" w:rsidRDefault="00D10EA2" w:rsidP="00D10EA2">
      <w:pPr>
        <w:pStyle w:val="ListParagraph"/>
        <w:numPr>
          <w:ilvl w:val="1"/>
          <w:numId w:val="40"/>
        </w:numPr>
        <w:spacing w:after="160" w:line="259" w:lineRule="auto"/>
      </w:pPr>
      <w:r>
        <w:t>Recheck the alignment in Y and hand adjust the screws and locking nuts to get within 50 microns.  Tighten locking screws to hand tight.  Tight spring loaded brass crews to 10 inch-lb.</w:t>
      </w:r>
    </w:p>
    <w:p w14:paraId="40F0117E" w14:textId="77777777" w:rsidR="00D10EA2" w:rsidRDefault="00D10EA2" w:rsidP="00D10EA2">
      <w:pPr>
        <w:pStyle w:val="ListParagraph"/>
        <w:numPr>
          <w:ilvl w:val="1"/>
          <w:numId w:val="40"/>
        </w:numPr>
        <w:spacing w:after="160" w:line="259" w:lineRule="auto"/>
      </w:pPr>
      <w:r>
        <w:t xml:space="preserve">Move to cavity 3 and repeat. Continue to the next southerly cavity. </w:t>
      </w:r>
    </w:p>
    <w:p w14:paraId="54DBEFF4" w14:textId="77777777" w:rsidR="00D10EA2" w:rsidRDefault="00D10EA2" w:rsidP="00D10EA2">
      <w:pPr>
        <w:pStyle w:val="ListParagraph"/>
        <w:numPr>
          <w:ilvl w:val="1"/>
          <w:numId w:val="40"/>
        </w:numPr>
        <w:spacing w:after="160" w:line="259" w:lineRule="auto"/>
      </w:pPr>
      <w:r>
        <w:t>For cavity 1, the bearing blocks which holds the valve with the ion pump must be loosened also since the flange is bolted directly to the cavity.</w:t>
      </w:r>
    </w:p>
    <w:p w14:paraId="14915409" w14:textId="77777777" w:rsidR="00D10EA2" w:rsidRDefault="00D10EA2" w:rsidP="00D10EA2">
      <w:pPr>
        <w:pStyle w:val="ListParagraph"/>
        <w:numPr>
          <w:ilvl w:val="2"/>
          <w:numId w:val="40"/>
        </w:numPr>
        <w:spacing w:after="160" w:line="259" w:lineRule="auto"/>
      </w:pPr>
      <w:r>
        <w:t xml:space="preserve"> To move in the Y direction the valve bearing block just needs to be loose. </w:t>
      </w:r>
    </w:p>
    <w:p w14:paraId="2651A26E" w14:textId="77777777" w:rsidR="00D10EA2" w:rsidRDefault="00D10EA2" w:rsidP="00D10EA2">
      <w:pPr>
        <w:pStyle w:val="ListParagraph"/>
        <w:numPr>
          <w:ilvl w:val="1"/>
          <w:numId w:val="40"/>
        </w:numPr>
        <w:spacing w:after="160" w:line="259" w:lineRule="auto"/>
      </w:pPr>
      <w:r>
        <w:t xml:space="preserve">Repeat steps 6.2 to 6.8. </w:t>
      </w:r>
      <w:proofErr w:type="gramStart"/>
      <w:r>
        <w:t>for</w:t>
      </w:r>
      <w:proofErr w:type="gramEnd"/>
      <w:r>
        <w:t xml:space="preserve"> cavities 6 through 8.</w:t>
      </w:r>
    </w:p>
    <w:p w14:paraId="24D1228A" w14:textId="77777777" w:rsidR="00D10EA2" w:rsidRDefault="00D10EA2" w:rsidP="00D10EA2">
      <w:pPr>
        <w:pStyle w:val="ListParagraph"/>
        <w:numPr>
          <w:ilvl w:val="1"/>
          <w:numId w:val="40"/>
        </w:numPr>
        <w:spacing w:after="160" w:line="259" w:lineRule="auto"/>
      </w:pPr>
      <w:r>
        <w:t>When you reach the quad, loosen the Y axis locking nuts and screws on the bearing blocks on the gate valve and quad until they are hand tight.  Loosen the lock screws to allow the quad to move in the direction of the adjustment. Simultaneously tighten the adjustment hardware on the right and left sides of the quad to drive the Quad to within 50 microns of the final coordinates.  Repeat for the northern pair of bearing blocks on the quad.</w:t>
      </w:r>
    </w:p>
    <w:p w14:paraId="0626D40A" w14:textId="77777777" w:rsidR="00D10EA2" w:rsidRDefault="00D10EA2" w:rsidP="00D10EA2">
      <w:pPr>
        <w:pStyle w:val="ListParagraph"/>
        <w:numPr>
          <w:ilvl w:val="1"/>
          <w:numId w:val="40"/>
        </w:numPr>
        <w:spacing w:after="360" w:line="259" w:lineRule="auto"/>
        <w:contextualSpacing w:val="0"/>
      </w:pPr>
      <w:r>
        <w:t>Tighten the screws and lock nuts.  Tighten the brass, spring loaded, screws to 6 N-m.</w:t>
      </w:r>
    </w:p>
    <w:p w14:paraId="1AA13730" w14:textId="77777777" w:rsidR="00D10EA2" w:rsidRDefault="00D10EA2" w:rsidP="00D10EA2">
      <w:pPr>
        <w:pStyle w:val="ListParagraph"/>
        <w:numPr>
          <w:ilvl w:val="0"/>
          <w:numId w:val="40"/>
        </w:numPr>
        <w:spacing w:after="360" w:line="259" w:lineRule="auto"/>
      </w:pPr>
      <w:r>
        <w:t xml:space="preserve">Final Align Z of cavity 8 by adjusting the locking screws to move the fiducial within 50 microns. When the fiducial is within 50 microns, tighten the clamp on the Invar rod to 70 in-lb.  Adjust the clamp so it resists the motion that the vacuum loads try to move the cavity.  </w:t>
      </w:r>
    </w:p>
    <w:p w14:paraId="35CEDEB7" w14:textId="77777777" w:rsidR="00D10EA2" w:rsidRDefault="00D10EA2" w:rsidP="00D10EA2">
      <w:pPr>
        <w:pStyle w:val="ListParagraph"/>
        <w:numPr>
          <w:ilvl w:val="1"/>
          <w:numId w:val="40"/>
        </w:numPr>
        <w:spacing w:after="360" w:line="259" w:lineRule="auto"/>
      </w:pPr>
      <w:r>
        <w:t xml:space="preserve">Loosen the locking screws while watching the Z position.  It will likely change as the invar clamp relaxes by 50 – 100 microns, when it does, </w:t>
      </w:r>
    </w:p>
    <w:p w14:paraId="5C42E7BF" w14:textId="77777777" w:rsidR="00D10EA2" w:rsidRDefault="00D10EA2" w:rsidP="00D10EA2">
      <w:pPr>
        <w:pStyle w:val="ListParagraph"/>
        <w:numPr>
          <w:ilvl w:val="2"/>
          <w:numId w:val="40"/>
        </w:numPr>
        <w:spacing w:after="360" w:line="259" w:lineRule="auto"/>
      </w:pPr>
      <w:r>
        <w:t xml:space="preserve"> Loosen the Invar clamp and re set the locking screws to compensate for the slip</w:t>
      </w:r>
    </w:p>
    <w:p w14:paraId="0DC17F5A" w14:textId="77777777" w:rsidR="00D10EA2" w:rsidRDefault="00D10EA2" w:rsidP="00D10EA2">
      <w:pPr>
        <w:pStyle w:val="ListParagraph"/>
        <w:numPr>
          <w:ilvl w:val="2"/>
          <w:numId w:val="40"/>
        </w:numPr>
        <w:spacing w:after="360" w:line="259" w:lineRule="auto"/>
      </w:pPr>
      <w:r>
        <w:t xml:space="preserve"> Re tighten the Invar clamp and repeat until final position is within 50 microns.</w:t>
      </w:r>
    </w:p>
    <w:p w14:paraId="533F67ED" w14:textId="77777777" w:rsidR="00D10EA2" w:rsidRDefault="00D10EA2" w:rsidP="00D10EA2">
      <w:pPr>
        <w:pStyle w:val="ListParagraph"/>
        <w:numPr>
          <w:ilvl w:val="1"/>
          <w:numId w:val="40"/>
        </w:numPr>
        <w:spacing w:after="360" w:line="259" w:lineRule="auto"/>
      </w:pPr>
      <w:r>
        <w:t xml:space="preserve">Remove the Z locking screws and plates </w:t>
      </w:r>
      <w:r w:rsidRPr="001F7428">
        <w:rPr>
          <w:u w:val="single"/>
        </w:rPr>
        <w:t>except</w:t>
      </w:r>
      <w:r>
        <w:t xml:space="preserve"> on the northern end of cavity 4.</w:t>
      </w:r>
    </w:p>
    <w:p w14:paraId="4282CCD5" w14:textId="77777777" w:rsidR="00D10EA2" w:rsidRDefault="00D10EA2" w:rsidP="00D10EA2">
      <w:pPr>
        <w:pStyle w:val="ListParagraph"/>
        <w:spacing w:after="360"/>
        <w:ind w:left="792"/>
      </w:pPr>
    </w:p>
    <w:p w14:paraId="2EF8EA23" w14:textId="77777777" w:rsidR="00D10EA2" w:rsidRDefault="00D10EA2" w:rsidP="00D10EA2">
      <w:pPr>
        <w:pStyle w:val="ListParagraph"/>
        <w:numPr>
          <w:ilvl w:val="0"/>
          <w:numId w:val="40"/>
        </w:numPr>
        <w:spacing w:after="360" w:line="259" w:lineRule="auto"/>
      </w:pPr>
      <w:r>
        <w:t>Final align X of cavity 8</w:t>
      </w:r>
    </w:p>
    <w:p w14:paraId="1E3B03A1" w14:textId="77777777" w:rsidR="00D10EA2" w:rsidRDefault="00D10EA2" w:rsidP="00D10EA2">
      <w:pPr>
        <w:pStyle w:val="ListParagraph"/>
        <w:numPr>
          <w:ilvl w:val="1"/>
          <w:numId w:val="40"/>
        </w:numPr>
        <w:spacing w:after="160" w:line="259" w:lineRule="auto"/>
      </w:pPr>
      <w:r>
        <w:t xml:space="preserve">Adjust </w:t>
      </w:r>
      <w:r w:rsidRPr="00FD34EC">
        <w:t xml:space="preserve">the locking screws to move the fiducial within 50 microns. When the fiducial is within 50 microns, </w:t>
      </w:r>
      <w:r>
        <w:t>t</w:t>
      </w:r>
      <w:r w:rsidRPr="00FD34EC">
        <w:t xml:space="preserve">ighten the screws and lock nuts.  </w:t>
      </w:r>
    </w:p>
    <w:p w14:paraId="5906F2D5" w14:textId="77777777" w:rsidR="00D10EA2" w:rsidRDefault="00D10EA2" w:rsidP="00D10EA2">
      <w:pPr>
        <w:pStyle w:val="ListParagraph"/>
        <w:numPr>
          <w:ilvl w:val="1"/>
          <w:numId w:val="40"/>
        </w:numPr>
        <w:spacing w:after="160" w:line="259" w:lineRule="auto"/>
      </w:pPr>
      <w:r w:rsidRPr="00FD34EC">
        <w:t>Tighten the brass, spring loaded, screws to 6 N-m.</w:t>
      </w:r>
    </w:p>
    <w:p w14:paraId="7A9EA9D2" w14:textId="77777777" w:rsidR="00D10EA2" w:rsidRDefault="00D10EA2" w:rsidP="00D10EA2">
      <w:pPr>
        <w:pStyle w:val="ListParagraph"/>
        <w:ind w:left="792"/>
      </w:pPr>
    </w:p>
    <w:p w14:paraId="33E5D254" w14:textId="77777777" w:rsidR="00D10EA2" w:rsidRPr="00FD34EC" w:rsidRDefault="00D10EA2" w:rsidP="00D10EA2">
      <w:pPr>
        <w:pStyle w:val="ListParagraph"/>
        <w:numPr>
          <w:ilvl w:val="0"/>
          <w:numId w:val="40"/>
        </w:numPr>
        <w:spacing w:after="160" w:line="259" w:lineRule="auto"/>
      </w:pPr>
      <w:r>
        <w:t>Final align Y of cavity 8</w:t>
      </w:r>
    </w:p>
    <w:p w14:paraId="12C2AFDE" w14:textId="77777777" w:rsidR="00D10EA2" w:rsidRDefault="00D10EA2" w:rsidP="00D10EA2">
      <w:pPr>
        <w:pStyle w:val="ListParagraph"/>
        <w:numPr>
          <w:ilvl w:val="1"/>
          <w:numId w:val="40"/>
        </w:numPr>
        <w:spacing w:after="360" w:line="259" w:lineRule="auto"/>
      </w:pPr>
      <w:r>
        <w:t xml:space="preserve">Check the fiducials to determine which way the cavity end needs to move </w:t>
      </w:r>
    </w:p>
    <w:p w14:paraId="51E198D6" w14:textId="77777777" w:rsidR="00D10EA2" w:rsidRDefault="00D10EA2" w:rsidP="00D10EA2">
      <w:pPr>
        <w:pStyle w:val="ListParagraph"/>
        <w:numPr>
          <w:ilvl w:val="1"/>
          <w:numId w:val="40"/>
        </w:numPr>
        <w:spacing w:after="360" w:line="259" w:lineRule="auto"/>
      </w:pPr>
      <w:r>
        <w:t>If the top and bottom fiducials call out different values, split the difference</w:t>
      </w:r>
    </w:p>
    <w:p w14:paraId="56B124A1" w14:textId="77777777" w:rsidR="00D10EA2" w:rsidRDefault="00D10EA2" w:rsidP="00D10EA2">
      <w:pPr>
        <w:pStyle w:val="ListParagraph"/>
        <w:numPr>
          <w:ilvl w:val="1"/>
          <w:numId w:val="40"/>
        </w:numPr>
        <w:spacing w:after="360" w:line="259" w:lineRule="auto"/>
      </w:pPr>
      <w:r>
        <w:t>Loosen the locking screws or spring loaded brass hardware on the Y axis in the direction the cavity needs to travel</w:t>
      </w:r>
    </w:p>
    <w:p w14:paraId="64D71AFD" w14:textId="77777777" w:rsidR="00D10EA2" w:rsidRDefault="00D10EA2" w:rsidP="00D10EA2">
      <w:pPr>
        <w:pStyle w:val="ListParagraph"/>
        <w:numPr>
          <w:ilvl w:val="1"/>
          <w:numId w:val="40"/>
        </w:numPr>
        <w:spacing w:after="360" w:line="259" w:lineRule="auto"/>
      </w:pPr>
      <w:r>
        <w:t xml:space="preserve">TWO PEOPLE REQUIRED. One person on each right /left bearing block. Simultaneously tighten the hardware on the bearing blocks to drive the cavity in the correct direction.  </w:t>
      </w:r>
    </w:p>
    <w:p w14:paraId="2B334855" w14:textId="77777777" w:rsidR="00D10EA2" w:rsidRDefault="00D10EA2" w:rsidP="00D10EA2">
      <w:pPr>
        <w:pStyle w:val="ListParagraph"/>
        <w:numPr>
          <w:ilvl w:val="1"/>
          <w:numId w:val="40"/>
        </w:numPr>
        <w:spacing w:after="360" w:line="259" w:lineRule="auto"/>
      </w:pPr>
      <w:r>
        <w:t>When the cavity is in the correct position at one end, repeat the process at the other. The cavity will pivot as the upstream and downstream bearing blocks are adjusted. And all four screws (right, left, upstream downstream) will require adjustment to square the cavity up. Remember to move the screws on the right and left bearing blocks simultaneously.</w:t>
      </w:r>
    </w:p>
    <w:p w14:paraId="696AB859" w14:textId="77777777" w:rsidR="00D10EA2" w:rsidRDefault="00D10EA2" w:rsidP="00D10EA2">
      <w:pPr>
        <w:pStyle w:val="ListParagraph"/>
        <w:numPr>
          <w:ilvl w:val="1"/>
          <w:numId w:val="40"/>
        </w:numPr>
        <w:spacing w:after="360" w:line="259" w:lineRule="auto"/>
      </w:pPr>
      <w:r>
        <w:t>Recheck the alignment in Y and hand adjust the screws and locking nuts to get within 50 microns.   Tighten screws and locking nuts to hand tight.  Tight spring loaded brass crews to 6 N-m.</w:t>
      </w:r>
    </w:p>
    <w:p w14:paraId="3E2F1582" w14:textId="77777777" w:rsidR="00D10EA2" w:rsidRDefault="00D10EA2" w:rsidP="00D10EA2">
      <w:pPr>
        <w:pStyle w:val="ListParagraph"/>
        <w:spacing w:after="360"/>
        <w:ind w:left="792"/>
      </w:pPr>
    </w:p>
    <w:p w14:paraId="2F58FAA3" w14:textId="77777777" w:rsidR="00D10EA2" w:rsidRDefault="00D10EA2" w:rsidP="00D10EA2">
      <w:pPr>
        <w:pStyle w:val="ListParagraph"/>
        <w:numPr>
          <w:ilvl w:val="0"/>
          <w:numId w:val="40"/>
        </w:numPr>
        <w:spacing w:after="360" w:line="259" w:lineRule="auto"/>
      </w:pPr>
      <w:r>
        <w:t>Repeat steps 7-9 for cavities 7 through 1 moving in a southern direction.</w:t>
      </w:r>
    </w:p>
    <w:p w14:paraId="039413F6" w14:textId="77777777" w:rsidR="00D10EA2" w:rsidRDefault="00D10EA2" w:rsidP="00D10EA2">
      <w:pPr>
        <w:pStyle w:val="ListParagraph"/>
        <w:numPr>
          <w:ilvl w:val="0"/>
          <w:numId w:val="40"/>
        </w:numPr>
        <w:spacing w:after="360" w:line="259" w:lineRule="auto"/>
      </w:pPr>
      <w:r>
        <w:t>Back off all the spring loaded brass screws by one quarter turn.</w:t>
      </w:r>
    </w:p>
    <w:p w14:paraId="3537C374" w14:textId="12834BFB" w:rsidR="003B03C6" w:rsidRPr="00D10EA2" w:rsidRDefault="00D10EA2" w:rsidP="003B03C6">
      <w:pPr>
        <w:pStyle w:val="ListParagraph"/>
        <w:numPr>
          <w:ilvl w:val="0"/>
          <w:numId w:val="40"/>
        </w:numPr>
        <w:spacing w:after="360" w:line="259" w:lineRule="auto"/>
      </w:pPr>
      <w:r>
        <w:t>Perform a final survey of the string.</w:t>
      </w:r>
    </w:p>
    <w:p w14:paraId="1067B255" w14:textId="77777777" w:rsidR="0079151A" w:rsidRDefault="0079151A" w:rsidP="00B61916"/>
    <w:p w14:paraId="75312E0F"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7AC0E4B7"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42A7A5BD"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551336A4"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5D241CA6"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4D6BFBCC"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54DAB938" w14:textId="77777777" w:rsidTr="00992CE4">
        <w:trPr>
          <w:trHeight w:val="390"/>
          <w:jc w:val="center"/>
        </w:trPr>
        <w:tc>
          <w:tcPr>
            <w:tcW w:w="1194" w:type="dxa"/>
            <w:tcMar>
              <w:top w:w="0" w:type="dxa"/>
              <w:left w:w="108" w:type="dxa"/>
              <w:bottom w:w="0" w:type="dxa"/>
              <w:right w:w="108" w:type="dxa"/>
            </w:tcMar>
            <w:vAlign w:val="center"/>
          </w:tcPr>
          <w:p w14:paraId="348E1B54"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4ABB2CEC"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09B7378C" w14:textId="77DCA05D" w:rsidR="009844B1" w:rsidRPr="004563B5" w:rsidRDefault="003B03C6" w:rsidP="00EC4153">
            <w:pPr>
              <w:pStyle w:val="Default"/>
              <w:jc w:val="center"/>
              <w:rPr>
                <w:rStyle w:val="SC2414"/>
                <w:rFonts w:cs="Calibri"/>
                <w:sz w:val="20"/>
                <w:szCs w:val="20"/>
              </w:rPr>
            </w:pPr>
            <w:r>
              <w:rPr>
                <w:rFonts w:cs="Calibri"/>
                <w:sz w:val="20"/>
                <w:szCs w:val="20"/>
              </w:rPr>
              <w:t>11</w:t>
            </w:r>
            <w:r w:rsidR="009844B1" w:rsidRPr="004563B5">
              <w:rPr>
                <w:rFonts w:cs="Calibri"/>
                <w:sz w:val="20"/>
                <w:szCs w:val="20"/>
              </w:rPr>
              <w:t>/</w:t>
            </w:r>
            <w:r w:rsidR="00EC4153">
              <w:rPr>
                <w:rFonts w:cs="Calibri"/>
                <w:sz w:val="20"/>
                <w:szCs w:val="20"/>
              </w:rPr>
              <w:t>8</w:t>
            </w:r>
            <w:r w:rsidR="00503CC3">
              <w:rPr>
                <w:rFonts w:cs="Calibri"/>
                <w:sz w:val="20"/>
                <w:szCs w:val="20"/>
              </w:rPr>
              <w:t>/2023</w:t>
            </w:r>
          </w:p>
        </w:tc>
      </w:tr>
      <w:bookmarkEnd w:id="5"/>
      <w:bookmarkEnd w:id="6"/>
      <w:tr w:rsidR="00856CD8" w:rsidRPr="004563B5" w14:paraId="43EC8223" w14:textId="77777777" w:rsidTr="00992CE4">
        <w:trPr>
          <w:trHeight w:val="390"/>
          <w:jc w:val="center"/>
        </w:trPr>
        <w:tc>
          <w:tcPr>
            <w:tcW w:w="1194" w:type="dxa"/>
            <w:tcMar>
              <w:top w:w="0" w:type="dxa"/>
              <w:left w:w="108" w:type="dxa"/>
              <w:bottom w:w="0" w:type="dxa"/>
              <w:right w:w="108" w:type="dxa"/>
            </w:tcMar>
            <w:vAlign w:val="center"/>
          </w:tcPr>
          <w:p w14:paraId="66007E7F" w14:textId="77777777"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3C01B038" w14:textId="77777777"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7D22545" w14:textId="77777777" w:rsidR="00856CD8" w:rsidRPr="004563B5" w:rsidRDefault="00856CD8" w:rsidP="00781C27">
            <w:pPr>
              <w:pStyle w:val="Default"/>
              <w:jc w:val="center"/>
              <w:rPr>
                <w:rFonts w:cs="Calibri"/>
                <w:sz w:val="20"/>
                <w:szCs w:val="20"/>
              </w:rPr>
            </w:pPr>
          </w:p>
        </w:tc>
      </w:tr>
    </w:tbl>
    <w:p w14:paraId="634949C9" w14:textId="77777777" w:rsidR="00B61916" w:rsidRDefault="00B61916">
      <w:pPr>
        <w:rPr>
          <w:rStyle w:val="SC2414"/>
          <w:rFonts w:ascii="Times" w:hAnsi="Times"/>
          <w:b w:val="0"/>
          <w:szCs w:val="18"/>
        </w:rPr>
      </w:pPr>
      <w:bookmarkStart w:id="8" w:name="_Acronyms"/>
      <w:bookmarkEnd w:id="8"/>
    </w:p>
    <w:p w14:paraId="0DA09264" w14:textId="77777777" w:rsidR="006F708C" w:rsidRDefault="00B61916" w:rsidP="00B43C3C">
      <w:pPr>
        <w:pStyle w:val="Heading1"/>
        <w:rPr>
          <w:rStyle w:val="SC2414"/>
          <w:b/>
          <w:szCs w:val="18"/>
        </w:rPr>
      </w:pPr>
      <w:r w:rsidRPr="001308A1">
        <w:rPr>
          <w:rStyle w:val="SC2414"/>
          <w:b/>
          <w:szCs w:val="18"/>
        </w:rPr>
        <w:t>Approvals</w:t>
      </w:r>
    </w:p>
    <w:bookmarkEnd w:id="7"/>
    <w:p w14:paraId="641CCF28"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3C59A60B"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404420A6"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10A56875"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4A5166A"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4AEB436F" w14:textId="77777777" w:rsidTr="00992CE4">
        <w:trPr>
          <w:trHeight w:val="141"/>
          <w:jc w:val="center"/>
        </w:trPr>
        <w:tc>
          <w:tcPr>
            <w:tcW w:w="3488" w:type="dxa"/>
            <w:tcMar>
              <w:top w:w="43" w:type="dxa"/>
              <w:left w:w="115" w:type="dxa"/>
              <w:bottom w:w="43" w:type="dxa"/>
              <w:right w:w="115" w:type="dxa"/>
            </w:tcMar>
            <w:vAlign w:val="center"/>
          </w:tcPr>
          <w:p w14:paraId="5643BD0D" w14:textId="2C72A183" w:rsidR="005B40D3" w:rsidRDefault="005B40D3">
            <w:pPr>
              <w:autoSpaceDE w:val="0"/>
              <w:autoSpaceDN w:val="0"/>
              <w:adjustRightInd w:val="0"/>
              <w:rPr>
                <w:rFonts w:cs="Calibri"/>
                <w:b/>
                <w:color w:val="auto"/>
                <w:sz w:val="20"/>
                <w:szCs w:val="20"/>
              </w:rPr>
            </w:pPr>
            <w:r>
              <w:rPr>
                <w:rFonts w:cs="Calibri"/>
                <w:b/>
                <w:color w:val="auto"/>
                <w:sz w:val="20"/>
                <w:szCs w:val="20"/>
              </w:rPr>
              <w:t>Document Owner</w:t>
            </w:r>
            <w:r w:rsidR="008A2E2B">
              <w:rPr>
                <w:rFonts w:cs="Calibri"/>
                <w:b/>
                <w:color w:val="auto"/>
                <w:sz w:val="20"/>
                <w:szCs w:val="20"/>
              </w:rPr>
              <w:t>/Align Lead</w:t>
            </w:r>
          </w:p>
        </w:tc>
        <w:tc>
          <w:tcPr>
            <w:tcW w:w="4027" w:type="dxa"/>
            <w:tcMar>
              <w:top w:w="43" w:type="dxa"/>
              <w:left w:w="115" w:type="dxa"/>
              <w:bottom w:w="43" w:type="dxa"/>
              <w:right w:w="115" w:type="dxa"/>
            </w:tcMar>
            <w:vAlign w:val="center"/>
          </w:tcPr>
          <w:p w14:paraId="7FB87961" w14:textId="5F492AD0" w:rsidR="005B40D3" w:rsidRDefault="00503CC3">
            <w:pPr>
              <w:tabs>
                <w:tab w:val="left" w:pos="2750"/>
              </w:tabs>
              <w:autoSpaceDE w:val="0"/>
              <w:autoSpaceDN w:val="0"/>
              <w:adjustRightInd w:val="0"/>
              <w:ind w:right="-191"/>
              <w:rPr>
                <w:rFonts w:cs="Calibri"/>
                <w:color w:val="auto"/>
                <w:sz w:val="20"/>
                <w:szCs w:val="20"/>
              </w:rPr>
            </w:pPr>
            <w:r>
              <w:rPr>
                <w:rFonts w:cs="Calibri"/>
                <w:color w:val="auto"/>
                <w:sz w:val="20"/>
                <w:szCs w:val="20"/>
              </w:rPr>
              <w:t>Steve Hardisty</w:t>
            </w:r>
          </w:p>
        </w:tc>
        <w:tc>
          <w:tcPr>
            <w:tcW w:w="1800" w:type="dxa"/>
            <w:tcMar>
              <w:top w:w="43" w:type="dxa"/>
              <w:left w:w="115" w:type="dxa"/>
              <w:bottom w:w="43" w:type="dxa"/>
              <w:right w:w="115" w:type="dxa"/>
            </w:tcMar>
            <w:vAlign w:val="center"/>
          </w:tcPr>
          <w:p w14:paraId="63158063" w14:textId="77777777" w:rsidR="005B40D3" w:rsidRPr="004563B5" w:rsidRDefault="005B40D3" w:rsidP="00992CE4">
            <w:pPr>
              <w:pStyle w:val="Default"/>
              <w:jc w:val="center"/>
              <w:rPr>
                <w:rFonts w:cs="Calibri"/>
                <w:color w:val="auto"/>
                <w:sz w:val="20"/>
                <w:szCs w:val="20"/>
              </w:rPr>
            </w:pPr>
          </w:p>
        </w:tc>
      </w:tr>
      <w:tr w:rsidR="00DF4DF3" w:rsidRPr="004563B5" w14:paraId="63EEA28D" w14:textId="77777777" w:rsidTr="004F4637">
        <w:trPr>
          <w:trHeight w:val="141"/>
          <w:jc w:val="center"/>
        </w:trPr>
        <w:tc>
          <w:tcPr>
            <w:tcW w:w="3488" w:type="dxa"/>
            <w:tcMar>
              <w:top w:w="43" w:type="dxa"/>
              <w:left w:w="115" w:type="dxa"/>
              <w:bottom w:w="43" w:type="dxa"/>
              <w:right w:w="115" w:type="dxa"/>
            </w:tcMar>
            <w:vAlign w:val="center"/>
          </w:tcPr>
          <w:p w14:paraId="3E86E1A0" w14:textId="0EF68C2F" w:rsidR="00DF4DF3" w:rsidRDefault="00D63D30" w:rsidP="004F4637">
            <w:pPr>
              <w:autoSpaceDE w:val="0"/>
              <w:autoSpaceDN w:val="0"/>
              <w:adjustRightInd w:val="0"/>
              <w:rPr>
                <w:rFonts w:cs="Calibri"/>
                <w:b/>
                <w:color w:val="auto"/>
                <w:sz w:val="20"/>
                <w:szCs w:val="20"/>
              </w:rPr>
            </w:pPr>
            <w:proofErr w:type="spellStart"/>
            <w:r>
              <w:rPr>
                <w:rFonts w:cs="Calibri"/>
                <w:b/>
                <w:color w:val="auto"/>
                <w:sz w:val="20"/>
                <w:szCs w:val="20"/>
              </w:rPr>
              <w:t>Cryomodule</w:t>
            </w:r>
            <w:proofErr w:type="spellEnd"/>
            <w:r>
              <w:rPr>
                <w:rFonts w:cs="Calibri"/>
                <w:b/>
                <w:color w:val="auto"/>
                <w:sz w:val="20"/>
                <w:szCs w:val="20"/>
              </w:rPr>
              <w:t xml:space="preserve"> Group Lead</w:t>
            </w:r>
          </w:p>
        </w:tc>
        <w:tc>
          <w:tcPr>
            <w:tcW w:w="4027" w:type="dxa"/>
            <w:tcMar>
              <w:top w:w="43" w:type="dxa"/>
              <w:left w:w="115" w:type="dxa"/>
              <w:bottom w:w="43" w:type="dxa"/>
              <w:right w:w="115" w:type="dxa"/>
            </w:tcMar>
            <w:vAlign w:val="center"/>
            <w:hideMark/>
          </w:tcPr>
          <w:p w14:paraId="578A8AF8" w14:textId="77777777" w:rsidR="00DF4DF3" w:rsidRDefault="00D63D30" w:rsidP="004F4637">
            <w:pPr>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79022FBF" w14:textId="77777777" w:rsidR="00DF4DF3" w:rsidRPr="004563B5" w:rsidRDefault="00DF4DF3" w:rsidP="004F4637">
            <w:pPr>
              <w:pStyle w:val="Default"/>
              <w:jc w:val="center"/>
              <w:rPr>
                <w:rFonts w:cs="Calibri"/>
                <w:color w:val="auto"/>
                <w:sz w:val="20"/>
                <w:szCs w:val="20"/>
              </w:rPr>
            </w:pPr>
          </w:p>
        </w:tc>
      </w:tr>
      <w:tr w:rsidR="00CA4360" w:rsidRPr="004563B5" w14:paraId="7F472436" w14:textId="77777777" w:rsidTr="00992CE4">
        <w:trPr>
          <w:trHeight w:val="141"/>
          <w:jc w:val="center"/>
        </w:trPr>
        <w:tc>
          <w:tcPr>
            <w:tcW w:w="3488" w:type="dxa"/>
            <w:tcMar>
              <w:top w:w="43" w:type="dxa"/>
              <w:left w:w="115" w:type="dxa"/>
              <w:bottom w:w="43" w:type="dxa"/>
              <w:right w:w="115" w:type="dxa"/>
            </w:tcMar>
            <w:vAlign w:val="center"/>
          </w:tcPr>
          <w:p w14:paraId="54DEF847" w14:textId="77777777" w:rsidR="00CA4360" w:rsidRDefault="00D63D30">
            <w:pPr>
              <w:autoSpaceDE w:val="0"/>
              <w:autoSpaceDN w:val="0"/>
              <w:adjustRightInd w:val="0"/>
              <w:rPr>
                <w:rFonts w:cs="Calibri"/>
                <w:b/>
                <w:color w:val="auto"/>
                <w:sz w:val="20"/>
                <w:szCs w:val="20"/>
              </w:rPr>
            </w:pPr>
            <w:r>
              <w:rPr>
                <w:rFonts w:cs="Calibri"/>
                <w:b/>
                <w:color w:val="auto"/>
                <w:sz w:val="20"/>
                <w:szCs w:val="20"/>
              </w:rPr>
              <w:t>Secondary Reviewer CMA</w:t>
            </w:r>
          </w:p>
        </w:tc>
        <w:tc>
          <w:tcPr>
            <w:tcW w:w="4027" w:type="dxa"/>
            <w:tcMar>
              <w:top w:w="43" w:type="dxa"/>
              <w:left w:w="115" w:type="dxa"/>
              <w:bottom w:w="43" w:type="dxa"/>
              <w:right w:w="115" w:type="dxa"/>
            </w:tcMar>
            <w:vAlign w:val="center"/>
            <w:hideMark/>
          </w:tcPr>
          <w:p w14:paraId="08E79BB4" w14:textId="77777777" w:rsidR="00CA4360" w:rsidRDefault="00D63D30" w:rsidP="005B40D3">
            <w:pPr>
              <w:tabs>
                <w:tab w:val="left" w:pos="2750"/>
              </w:tabs>
              <w:autoSpaceDE w:val="0"/>
              <w:autoSpaceDN w:val="0"/>
              <w:adjustRightInd w:val="0"/>
              <w:ind w:right="-191"/>
              <w:rPr>
                <w:rFonts w:cs="Calibri"/>
                <w:color w:val="auto"/>
                <w:sz w:val="20"/>
                <w:szCs w:val="20"/>
              </w:rPr>
            </w:pPr>
            <w:r>
              <w:rPr>
                <w:rFonts w:cs="Calibri"/>
                <w:color w:val="auto"/>
                <w:sz w:val="20"/>
                <w:szCs w:val="20"/>
              </w:rPr>
              <w:t>Jeff Campbell</w:t>
            </w:r>
          </w:p>
        </w:tc>
        <w:tc>
          <w:tcPr>
            <w:tcW w:w="1800" w:type="dxa"/>
            <w:tcMar>
              <w:top w:w="43" w:type="dxa"/>
              <w:left w:w="115" w:type="dxa"/>
              <w:bottom w:w="43" w:type="dxa"/>
              <w:right w:w="115" w:type="dxa"/>
            </w:tcMar>
            <w:vAlign w:val="center"/>
          </w:tcPr>
          <w:p w14:paraId="384D0F0C" w14:textId="77777777" w:rsidR="00CA4360" w:rsidRPr="004563B5" w:rsidRDefault="00CA4360" w:rsidP="00992CE4">
            <w:pPr>
              <w:pStyle w:val="Default"/>
              <w:jc w:val="center"/>
              <w:rPr>
                <w:rFonts w:cs="Calibri"/>
                <w:color w:val="auto"/>
                <w:sz w:val="20"/>
                <w:szCs w:val="20"/>
              </w:rPr>
            </w:pPr>
          </w:p>
        </w:tc>
      </w:tr>
      <w:tr w:rsidR="006807B8" w:rsidRPr="004563B5" w14:paraId="74F6BA27" w14:textId="77777777" w:rsidTr="00992CE4">
        <w:trPr>
          <w:trHeight w:val="141"/>
          <w:jc w:val="center"/>
        </w:trPr>
        <w:tc>
          <w:tcPr>
            <w:tcW w:w="3488" w:type="dxa"/>
            <w:tcMar>
              <w:top w:w="43" w:type="dxa"/>
              <w:left w:w="115" w:type="dxa"/>
              <w:bottom w:w="43" w:type="dxa"/>
              <w:right w:w="115" w:type="dxa"/>
            </w:tcMar>
            <w:vAlign w:val="center"/>
          </w:tcPr>
          <w:p w14:paraId="2D11A5FC" w14:textId="7842D157" w:rsidR="006807B8" w:rsidRDefault="006807B8">
            <w:pPr>
              <w:autoSpaceDE w:val="0"/>
              <w:autoSpaceDN w:val="0"/>
              <w:adjustRightInd w:val="0"/>
              <w:rPr>
                <w:rFonts w:cs="Calibri"/>
                <w:b/>
                <w:color w:val="auto"/>
                <w:sz w:val="20"/>
                <w:szCs w:val="20"/>
              </w:rPr>
            </w:pPr>
            <w:r>
              <w:rPr>
                <w:rFonts w:cs="Calibri"/>
                <w:b/>
                <w:color w:val="auto"/>
                <w:sz w:val="20"/>
                <w:szCs w:val="20"/>
              </w:rPr>
              <w:t>Alignment Group Representative</w:t>
            </w:r>
          </w:p>
        </w:tc>
        <w:tc>
          <w:tcPr>
            <w:tcW w:w="4027" w:type="dxa"/>
            <w:tcMar>
              <w:top w:w="43" w:type="dxa"/>
              <w:left w:w="115" w:type="dxa"/>
              <w:bottom w:w="43" w:type="dxa"/>
              <w:right w:w="115" w:type="dxa"/>
            </w:tcMar>
            <w:vAlign w:val="center"/>
          </w:tcPr>
          <w:p w14:paraId="191976B6" w14:textId="1FB1D914" w:rsidR="006807B8" w:rsidRDefault="00612A32" w:rsidP="005B40D3">
            <w:pPr>
              <w:tabs>
                <w:tab w:val="left" w:pos="2750"/>
              </w:tabs>
              <w:autoSpaceDE w:val="0"/>
              <w:autoSpaceDN w:val="0"/>
              <w:adjustRightInd w:val="0"/>
              <w:ind w:right="-191"/>
              <w:rPr>
                <w:rFonts w:cs="Calibri"/>
                <w:color w:val="auto"/>
                <w:sz w:val="20"/>
                <w:szCs w:val="20"/>
              </w:rPr>
            </w:pPr>
            <w:r>
              <w:rPr>
                <w:rFonts w:cs="Calibri"/>
                <w:color w:val="auto"/>
                <w:sz w:val="20"/>
                <w:szCs w:val="20"/>
              </w:rPr>
              <w:t>Robert Mares</w:t>
            </w:r>
            <w:bookmarkStart w:id="9" w:name="_GoBack"/>
            <w:bookmarkEnd w:id="9"/>
          </w:p>
        </w:tc>
        <w:tc>
          <w:tcPr>
            <w:tcW w:w="1800" w:type="dxa"/>
            <w:tcMar>
              <w:top w:w="43" w:type="dxa"/>
              <w:left w:w="115" w:type="dxa"/>
              <w:bottom w:w="43" w:type="dxa"/>
              <w:right w:w="115" w:type="dxa"/>
            </w:tcMar>
            <w:vAlign w:val="center"/>
          </w:tcPr>
          <w:p w14:paraId="00EBE682" w14:textId="77777777" w:rsidR="006807B8" w:rsidRPr="004563B5" w:rsidRDefault="006807B8" w:rsidP="00992CE4">
            <w:pPr>
              <w:pStyle w:val="Default"/>
              <w:jc w:val="center"/>
              <w:rPr>
                <w:rFonts w:cs="Calibri"/>
                <w:color w:val="auto"/>
                <w:sz w:val="20"/>
                <w:szCs w:val="20"/>
              </w:rPr>
            </w:pPr>
          </w:p>
        </w:tc>
      </w:tr>
    </w:tbl>
    <w:p w14:paraId="60BDCAEB" w14:textId="360027FF" w:rsidR="00FF33EE" w:rsidRPr="001308A1" w:rsidRDefault="00FF33EE" w:rsidP="008A2E2B">
      <w:pPr>
        <w:tabs>
          <w:tab w:val="left" w:pos="360"/>
        </w:tabs>
        <w:spacing w:after="200" w:line="276" w:lineRule="auto"/>
        <w:rPr>
          <w:rFonts w:ascii="Times" w:hAnsi="Times" w:cs="Calibri"/>
          <w:b/>
          <w:color w:val="auto"/>
          <w:sz w:val="20"/>
          <w:szCs w:val="20"/>
        </w:rPr>
      </w:pPr>
      <w:bookmarkStart w:id="10" w:name="_Section_8.0_Revision"/>
      <w:bookmarkEnd w:id="10"/>
    </w:p>
    <w:sectPr w:rsidR="00FF33EE" w:rsidRPr="001308A1" w:rsidSect="00B43C3C">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B6E6" w14:textId="77777777" w:rsidR="00BA3F30" w:rsidRDefault="00BA3F30" w:rsidP="00470DBE">
      <w:r>
        <w:separator/>
      </w:r>
    </w:p>
    <w:p w14:paraId="33A77C95" w14:textId="77777777" w:rsidR="00BA3F30" w:rsidRDefault="00BA3F30"/>
    <w:p w14:paraId="3B6330AD" w14:textId="77777777" w:rsidR="00BA3F30" w:rsidRDefault="00BA3F30" w:rsidP="003D67BE"/>
  </w:endnote>
  <w:endnote w:type="continuationSeparator" w:id="0">
    <w:p w14:paraId="6675DE26" w14:textId="77777777" w:rsidR="00BA3F30" w:rsidRDefault="00BA3F30" w:rsidP="00470DBE">
      <w:r>
        <w:continuationSeparator/>
      </w:r>
    </w:p>
    <w:p w14:paraId="52D8444D" w14:textId="77777777" w:rsidR="00BA3F30" w:rsidRDefault="00BA3F30"/>
    <w:p w14:paraId="4DC11869" w14:textId="77777777" w:rsidR="00BA3F30" w:rsidRDefault="00BA3F30"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6C9E" w14:textId="77777777"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4</w:t>
    </w:r>
    <w:r w:rsidRPr="009229C5">
      <w:rPr>
        <w:rFonts w:ascii="Arial" w:hAnsi="Arial" w:cs="Arial"/>
        <w:sz w:val="16"/>
        <w:szCs w:val="16"/>
      </w:rPr>
      <w:t xml:space="preserve"> of </w:t>
    </w:r>
    <w:r w:rsidR="00854200">
      <w:rPr>
        <w:rFonts w:ascii="Arial" w:hAnsi="Arial" w:cs="Arial"/>
        <w:b/>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AF48" w14:textId="77777777"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1744AD">
      <w:rPr>
        <w:rFonts w:ascii="Arial" w:hAnsi="Arial" w:cs="Arial"/>
        <w:i/>
        <w:noProof/>
        <w:sz w:val="16"/>
        <w:szCs w:val="16"/>
      </w:rPr>
      <w:t>6/30/2020</w:t>
    </w:r>
    <w:r>
      <w:rPr>
        <w:rFonts w:ascii="Arial" w:hAnsi="Arial" w:cs="Arial"/>
        <w:i/>
        <w:sz w:val="16"/>
        <w:szCs w:val="16"/>
      </w:rPr>
      <w:t>.</w:t>
    </w:r>
  </w:p>
  <w:p w14:paraId="54DF3CFD" w14:textId="77777777"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1</w:t>
    </w:r>
    <w:r w:rsidRPr="009229C5">
      <w:rPr>
        <w:rFonts w:ascii="Arial" w:hAnsi="Arial" w:cs="Arial"/>
        <w:sz w:val="16"/>
        <w:szCs w:val="16"/>
      </w:rPr>
      <w:t xml:space="preserve"> of </w:t>
    </w:r>
    <w:r w:rsidR="00854200">
      <w:rPr>
        <w:rFonts w:ascii="Arial" w:hAnsi="Arial" w:cs="Arial"/>
        <w:b/>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AA23" w14:textId="77777777" w:rsidR="00BA3F30" w:rsidRDefault="00BA3F30" w:rsidP="00470DBE">
      <w:r>
        <w:separator/>
      </w:r>
    </w:p>
    <w:p w14:paraId="4A23D8C1" w14:textId="77777777" w:rsidR="00BA3F30" w:rsidRDefault="00BA3F30"/>
    <w:p w14:paraId="5C3F4E5C" w14:textId="77777777" w:rsidR="00BA3F30" w:rsidRDefault="00BA3F30" w:rsidP="003D67BE"/>
  </w:footnote>
  <w:footnote w:type="continuationSeparator" w:id="0">
    <w:p w14:paraId="4781EB82" w14:textId="77777777" w:rsidR="00BA3F30" w:rsidRDefault="00BA3F30" w:rsidP="00470DBE">
      <w:r>
        <w:continuationSeparator/>
      </w:r>
    </w:p>
    <w:p w14:paraId="5E34ADC5" w14:textId="77777777" w:rsidR="00BA3F30" w:rsidRDefault="00BA3F30"/>
    <w:p w14:paraId="25FB4CB7" w14:textId="77777777" w:rsidR="00BA3F30" w:rsidRDefault="00BA3F30"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92DD7D1" w14:textId="77777777" w:rsidTr="00992CE4">
      <w:tc>
        <w:tcPr>
          <w:tcW w:w="3651" w:type="dxa"/>
          <w:shd w:val="clear" w:color="auto" w:fill="auto"/>
        </w:tcPr>
        <w:p w14:paraId="37681E50" w14:textId="77777777" w:rsidR="000E762D" w:rsidRPr="001F6D4C" w:rsidRDefault="000E762D" w:rsidP="00B43C3C">
          <w:pPr>
            <w:rPr>
              <w:noProof/>
            </w:rPr>
          </w:pPr>
          <w:r w:rsidRPr="00AA0DBB">
            <w:rPr>
              <w:noProof/>
            </w:rPr>
            <w:drawing>
              <wp:inline distT="0" distB="0" distL="0" distR="0" wp14:anchorId="318696CE" wp14:editId="13541B67">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305FB449"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62942A76" w14:textId="77777777" w:rsidR="000E762D" w:rsidRPr="00CD3F50" w:rsidRDefault="000E762D" w:rsidP="00B43C3C">
          <w:pPr>
            <w:jc w:val="right"/>
            <w:rPr>
              <w:rFonts w:ascii="Calibri" w:hAnsi="Calibri" w:cs="Arial"/>
              <w:color w:val="C00000"/>
              <w:sz w:val="16"/>
              <w:szCs w:val="16"/>
            </w:rPr>
          </w:pPr>
        </w:p>
      </w:tc>
    </w:tr>
  </w:tbl>
  <w:p w14:paraId="1EBD5CCC" w14:textId="77777777"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475A" w14:textId="77777777" w:rsidR="000E762D" w:rsidRDefault="000E762D" w:rsidP="006A2E18">
    <w:pPr>
      <w:pStyle w:val="Header"/>
      <w:ind w:left="-270"/>
      <w:rPr>
        <w:noProof/>
      </w:rPr>
    </w:pPr>
    <w:r w:rsidRPr="00AA0DBB">
      <w:rPr>
        <w:noProof/>
      </w:rPr>
      <w:drawing>
        <wp:inline distT="0" distB="0" distL="0" distR="0" wp14:anchorId="1CAC0B99" wp14:editId="0F45A382">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7D9E6B2B" wp14:editId="4182529F">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553CFEB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55AD4"/>
    <w:multiLevelType w:val="hybridMultilevel"/>
    <w:tmpl w:val="8FC057F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1A23018"/>
    <w:multiLevelType w:val="hybridMultilevel"/>
    <w:tmpl w:val="D91CB6DC"/>
    <w:lvl w:ilvl="0" w:tplc="532073E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2"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386618"/>
    <w:multiLevelType w:val="hybridMultilevel"/>
    <w:tmpl w:val="53E60E00"/>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61DE5606"/>
    <w:multiLevelType w:val="hybridMultilevel"/>
    <w:tmpl w:val="7938B68C"/>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5"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261E3D"/>
    <w:multiLevelType w:val="multilevel"/>
    <w:tmpl w:val="C696DA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2"/>
  </w:num>
  <w:num w:numId="2">
    <w:abstractNumId w:val="0"/>
  </w:num>
  <w:num w:numId="3">
    <w:abstractNumId w:val="26"/>
  </w:num>
  <w:num w:numId="4">
    <w:abstractNumId w:val="25"/>
  </w:num>
  <w:num w:numId="5">
    <w:abstractNumId w:val="12"/>
  </w:num>
  <w:num w:numId="6">
    <w:abstractNumId w:val="30"/>
  </w:num>
  <w:num w:numId="7">
    <w:abstractNumId w:val="24"/>
  </w:num>
  <w:num w:numId="8">
    <w:abstractNumId w:val="28"/>
  </w:num>
  <w:num w:numId="9">
    <w:abstractNumId w:val="18"/>
  </w:num>
  <w:num w:numId="10">
    <w:abstractNumId w:val="2"/>
  </w:num>
  <w:num w:numId="11">
    <w:abstractNumId w:val="15"/>
  </w:num>
  <w:num w:numId="12">
    <w:abstractNumId w:val="17"/>
  </w:num>
  <w:num w:numId="13">
    <w:abstractNumId w:val="32"/>
  </w:num>
  <w:num w:numId="14">
    <w:abstractNumId w:val="20"/>
  </w:num>
  <w:num w:numId="15">
    <w:abstractNumId w:val="16"/>
  </w:num>
  <w:num w:numId="16">
    <w:abstractNumId w:val="33"/>
  </w:num>
  <w:num w:numId="17">
    <w:abstractNumId w:val="27"/>
  </w:num>
  <w:num w:numId="18">
    <w:abstractNumId w:val="10"/>
  </w:num>
  <w:num w:numId="19">
    <w:abstractNumId w:val="11"/>
  </w:num>
  <w:num w:numId="20">
    <w:abstractNumId w:val="1"/>
  </w:num>
  <w:num w:numId="21">
    <w:abstractNumId w:val="7"/>
  </w:num>
  <w:num w:numId="22">
    <w:abstractNumId w:val="6"/>
  </w:num>
  <w:num w:numId="23">
    <w:abstractNumId w:val="8"/>
  </w:num>
  <w:num w:numId="24">
    <w:abstractNumId w:val="19"/>
  </w:num>
  <w:num w:numId="25">
    <w:abstractNumId w:val="13"/>
  </w:num>
  <w:num w:numId="26">
    <w:abstractNumId w:val="35"/>
  </w:num>
  <w:num w:numId="27">
    <w:abstractNumId w:val="31"/>
  </w:num>
  <w:num w:numId="28">
    <w:abstractNumId w:val="9"/>
  </w:num>
  <w:num w:numId="29">
    <w:abstractNumId w:val="3"/>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5"/>
  </w:num>
  <w:num w:numId="34">
    <w:abstractNumId w:val="25"/>
  </w:num>
  <w:num w:numId="35">
    <w:abstractNumId w:val="23"/>
  </w:num>
  <w:num w:numId="36">
    <w:abstractNumId w:val="34"/>
  </w:num>
  <w:num w:numId="37">
    <w:abstractNumId w:val="5"/>
  </w:num>
  <w:num w:numId="38">
    <w:abstractNumId w:val="21"/>
  </w:num>
  <w:num w:numId="39">
    <w:abstractNumId w:val="14"/>
  </w:num>
  <w:num w:numId="40">
    <w:abstractNumId w:val="29"/>
  </w:num>
  <w:num w:numId="4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44AD"/>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638F"/>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16B9"/>
    <w:rsid w:val="002B23C4"/>
    <w:rsid w:val="002B713B"/>
    <w:rsid w:val="002B7E3E"/>
    <w:rsid w:val="002C11D9"/>
    <w:rsid w:val="002C7B96"/>
    <w:rsid w:val="002D06D9"/>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03C6"/>
    <w:rsid w:val="003B469F"/>
    <w:rsid w:val="003B4882"/>
    <w:rsid w:val="003B4BD3"/>
    <w:rsid w:val="003B749A"/>
    <w:rsid w:val="003C1755"/>
    <w:rsid w:val="003C1F69"/>
    <w:rsid w:val="003C3D36"/>
    <w:rsid w:val="003C5CB0"/>
    <w:rsid w:val="003C6AB5"/>
    <w:rsid w:val="003C6C0B"/>
    <w:rsid w:val="003D3CC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22D0"/>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03CC3"/>
    <w:rsid w:val="00511242"/>
    <w:rsid w:val="00514E80"/>
    <w:rsid w:val="00521CE4"/>
    <w:rsid w:val="0052241C"/>
    <w:rsid w:val="00526F60"/>
    <w:rsid w:val="00535F54"/>
    <w:rsid w:val="00540FE6"/>
    <w:rsid w:val="00542FD8"/>
    <w:rsid w:val="00544F04"/>
    <w:rsid w:val="005459BE"/>
    <w:rsid w:val="005473C5"/>
    <w:rsid w:val="0055045E"/>
    <w:rsid w:val="00551A4C"/>
    <w:rsid w:val="0055254B"/>
    <w:rsid w:val="00552D4C"/>
    <w:rsid w:val="005564D7"/>
    <w:rsid w:val="00556DFA"/>
    <w:rsid w:val="00557B0F"/>
    <w:rsid w:val="0056075D"/>
    <w:rsid w:val="005617B8"/>
    <w:rsid w:val="00563CB1"/>
    <w:rsid w:val="00566E4B"/>
    <w:rsid w:val="00571382"/>
    <w:rsid w:val="00572943"/>
    <w:rsid w:val="00573213"/>
    <w:rsid w:val="005812A7"/>
    <w:rsid w:val="00581E96"/>
    <w:rsid w:val="00593BD6"/>
    <w:rsid w:val="005944AD"/>
    <w:rsid w:val="00594AA3"/>
    <w:rsid w:val="0059552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2A32"/>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9D1"/>
    <w:rsid w:val="00671C96"/>
    <w:rsid w:val="00673F41"/>
    <w:rsid w:val="006803C0"/>
    <w:rsid w:val="006807B8"/>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178F"/>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4200"/>
    <w:rsid w:val="008561E5"/>
    <w:rsid w:val="00856407"/>
    <w:rsid w:val="00856CD8"/>
    <w:rsid w:val="00860C95"/>
    <w:rsid w:val="00863E4A"/>
    <w:rsid w:val="00866704"/>
    <w:rsid w:val="00873925"/>
    <w:rsid w:val="008766EB"/>
    <w:rsid w:val="008766EF"/>
    <w:rsid w:val="00882358"/>
    <w:rsid w:val="00883D0E"/>
    <w:rsid w:val="00897D18"/>
    <w:rsid w:val="008A0A68"/>
    <w:rsid w:val="008A0D21"/>
    <w:rsid w:val="008A227D"/>
    <w:rsid w:val="008A2E2B"/>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55AD1"/>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688D"/>
    <w:rsid w:val="009E221A"/>
    <w:rsid w:val="009E4F1C"/>
    <w:rsid w:val="009E5929"/>
    <w:rsid w:val="009E6316"/>
    <w:rsid w:val="009E6949"/>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5FFC"/>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A3F30"/>
    <w:rsid w:val="00BB3725"/>
    <w:rsid w:val="00BB42A7"/>
    <w:rsid w:val="00BB4E5F"/>
    <w:rsid w:val="00BB7343"/>
    <w:rsid w:val="00BB796A"/>
    <w:rsid w:val="00BB7D0D"/>
    <w:rsid w:val="00BC20E9"/>
    <w:rsid w:val="00BC25EE"/>
    <w:rsid w:val="00BC4027"/>
    <w:rsid w:val="00BC6896"/>
    <w:rsid w:val="00BD1F29"/>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0EA2"/>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27C"/>
    <w:rsid w:val="00D5272D"/>
    <w:rsid w:val="00D56CF1"/>
    <w:rsid w:val="00D576E4"/>
    <w:rsid w:val="00D60B9E"/>
    <w:rsid w:val="00D60C3B"/>
    <w:rsid w:val="00D618BF"/>
    <w:rsid w:val="00D618F6"/>
    <w:rsid w:val="00D6330C"/>
    <w:rsid w:val="00D63D30"/>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2EC"/>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0C02"/>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0F0"/>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DDB96CA"/>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 w:type="paragraph" w:styleId="Revision">
    <w:name w:val="Revision"/>
    <w:hidden/>
    <w:uiPriority w:val="99"/>
    <w:semiHidden/>
    <w:rsid w:val="005473C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61917/F10127864-A-DWG1.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61916/F10127855_A_DWG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9BAB2AE1-4CC3-425E-8CFC-29CDD982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9545</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2024-01-02T18:48:00Z</dcterms:created>
  <dcterms:modified xsi:type="dcterms:W3CDTF">2024-01-02T18:48:00Z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