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0A" w:rsidRPr="000C705A" w:rsidRDefault="0040130A" w:rsidP="000C705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430"/>
        <w:gridCol w:w="2970"/>
        <w:gridCol w:w="297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0C705A" w:rsidRDefault="00D62C8D" w:rsidP="000C705A">
            <w:pPr>
              <w:jc w:val="center"/>
              <w:rPr>
                <w:rFonts w:ascii="Lucida Bright" w:hAnsi="Lucida Bright" w:cs="Arial"/>
                <w:b/>
                <w:color w:val="C00000"/>
                <w:sz w:val="40"/>
                <w:szCs w:val="40"/>
              </w:rPr>
            </w:pPr>
            <w:r>
              <w:rPr>
                <w:rFonts w:ascii="Lucida Bright" w:hAnsi="Lucida Bright" w:cs="Arial"/>
                <w:b/>
                <w:color w:val="C00000"/>
                <w:sz w:val="40"/>
                <w:szCs w:val="40"/>
              </w:rPr>
              <w:t>L2HE Downstream Beam Pipe Procedure</w:t>
            </w:r>
          </w:p>
        </w:tc>
      </w:tr>
      <w:tr w:rsidR="0040130A" w:rsidRPr="000E7AB8" w:rsidTr="000C705A">
        <w:tc>
          <w:tcPr>
            <w:tcW w:w="243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0C705A">
            <w:r w:rsidRPr="00AE4D72">
              <w:t>Document Number:</w:t>
            </w:r>
          </w:p>
        </w:tc>
        <w:tc>
          <w:tcPr>
            <w:tcW w:w="2970" w:type="dxa"/>
            <w:tcBorders>
              <w:top w:val="single" w:sz="18" w:space="0" w:color="000000" w:themeColor="text1"/>
              <w:left w:val="nil"/>
              <w:bottom w:val="nil"/>
              <w:right w:val="nil"/>
            </w:tcBorders>
            <w:vAlign w:val="center"/>
          </w:tcPr>
          <w:p w:rsidR="0040130A" w:rsidRPr="000E7AB8" w:rsidRDefault="00D62C8D" w:rsidP="000C705A">
            <w:r>
              <w:t>L2HE</w:t>
            </w:r>
          </w:p>
        </w:tc>
        <w:tc>
          <w:tcPr>
            <w:tcW w:w="297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0C705A">
            <w:r>
              <w:t>Effective</w:t>
            </w:r>
            <w:r w:rsidR="0040130A" w:rsidRPr="00AE4D72">
              <w:t xml:space="preserve"> Date:</w:t>
            </w:r>
          </w:p>
        </w:tc>
        <w:tc>
          <w:tcPr>
            <w:tcW w:w="1813" w:type="dxa"/>
            <w:tcBorders>
              <w:top w:val="single" w:sz="18" w:space="0" w:color="000000" w:themeColor="text1"/>
              <w:left w:val="nil"/>
              <w:bottom w:val="nil"/>
              <w:right w:val="nil"/>
            </w:tcBorders>
            <w:vAlign w:val="center"/>
          </w:tcPr>
          <w:p w:rsidR="0040130A" w:rsidRPr="000E7AB8" w:rsidRDefault="00EE1DAD" w:rsidP="000C705A">
            <w:r>
              <w:t>DD Mmm YYYY</w:t>
            </w:r>
          </w:p>
        </w:tc>
      </w:tr>
      <w:tr w:rsidR="0040130A" w:rsidRPr="000E7AB8" w:rsidTr="000C705A">
        <w:tc>
          <w:tcPr>
            <w:tcW w:w="2430" w:type="dxa"/>
            <w:tcBorders>
              <w:top w:val="nil"/>
              <w:left w:val="nil"/>
              <w:bottom w:val="nil"/>
              <w:right w:val="nil"/>
            </w:tcBorders>
            <w:shd w:val="clear" w:color="auto" w:fill="D9D9D9" w:themeFill="background1" w:themeFillShade="D9"/>
            <w:vAlign w:val="center"/>
          </w:tcPr>
          <w:p w:rsidR="0040130A" w:rsidRPr="00AE4D72" w:rsidRDefault="0040130A" w:rsidP="000C705A">
            <w:r w:rsidRPr="00AE4D72">
              <w:t>Revision Number:</w:t>
            </w:r>
          </w:p>
        </w:tc>
        <w:tc>
          <w:tcPr>
            <w:tcW w:w="2970" w:type="dxa"/>
            <w:tcBorders>
              <w:top w:val="nil"/>
              <w:left w:val="nil"/>
              <w:bottom w:val="nil"/>
              <w:right w:val="nil"/>
            </w:tcBorders>
            <w:vAlign w:val="center"/>
          </w:tcPr>
          <w:p w:rsidR="0040130A" w:rsidRPr="0035230B" w:rsidRDefault="000C705A" w:rsidP="000C705A">
            <w:r>
              <w:t>1</w:t>
            </w:r>
          </w:p>
        </w:tc>
        <w:tc>
          <w:tcPr>
            <w:tcW w:w="2970" w:type="dxa"/>
            <w:tcBorders>
              <w:top w:val="nil"/>
              <w:left w:val="nil"/>
              <w:bottom w:val="nil"/>
              <w:right w:val="nil"/>
            </w:tcBorders>
            <w:shd w:val="clear" w:color="auto" w:fill="D9D9D9" w:themeFill="background1" w:themeFillShade="D9"/>
            <w:vAlign w:val="center"/>
          </w:tcPr>
          <w:p w:rsidR="0040130A" w:rsidRPr="00AE4D72" w:rsidRDefault="0040130A" w:rsidP="000C705A">
            <w:r w:rsidRPr="00AE4D72">
              <w:t>Periodic Review Date:</w:t>
            </w:r>
          </w:p>
        </w:tc>
        <w:tc>
          <w:tcPr>
            <w:tcW w:w="1813" w:type="dxa"/>
            <w:tcBorders>
              <w:top w:val="nil"/>
              <w:left w:val="nil"/>
              <w:bottom w:val="nil"/>
              <w:right w:val="nil"/>
            </w:tcBorders>
            <w:vAlign w:val="center"/>
          </w:tcPr>
          <w:p w:rsidR="0040130A" w:rsidRPr="000E7AB8" w:rsidRDefault="00EE1DAD" w:rsidP="000C705A">
            <w:r>
              <w:t>DD Mmm YYYY</w:t>
            </w:r>
          </w:p>
        </w:tc>
      </w:tr>
      <w:tr w:rsidR="0040130A" w:rsidRPr="000E7AB8" w:rsidTr="000C705A">
        <w:tc>
          <w:tcPr>
            <w:tcW w:w="243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0C705A">
            <w:r>
              <w:t>Document</w:t>
            </w:r>
            <w:r w:rsidR="0040130A" w:rsidRPr="00AE4D72">
              <w:t xml:space="preserve"> Owner:</w:t>
            </w:r>
          </w:p>
        </w:tc>
        <w:tc>
          <w:tcPr>
            <w:tcW w:w="2970" w:type="dxa"/>
            <w:tcBorders>
              <w:top w:val="nil"/>
              <w:left w:val="nil"/>
              <w:bottom w:val="double" w:sz="6" w:space="0" w:color="000000" w:themeColor="text1"/>
              <w:right w:val="nil"/>
            </w:tcBorders>
            <w:vAlign w:val="center"/>
          </w:tcPr>
          <w:p w:rsidR="0040130A" w:rsidRPr="000E7AB8" w:rsidRDefault="00D62C8D" w:rsidP="000C705A">
            <w:r>
              <w:t>C.Wilcox</w:t>
            </w:r>
          </w:p>
        </w:tc>
        <w:tc>
          <w:tcPr>
            <w:tcW w:w="297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0C705A">
            <w:r w:rsidRPr="00AE4D72">
              <w:t>Department Owner:</w:t>
            </w:r>
          </w:p>
        </w:tc>
        <w:tc>
          <w:tcPr>
            <w:tcW w:w="1813" w:type="dxa"/>
            <w:tcBorders>
              <w:top w:val="nil"/>
              <w:left w:val="nil"/>
              <w:bottom w:val="double" w:sz="6" w:space="0" w:color="000000" w:themeColor="text1"/>
              <w:right w:val="nil"/>
            </w:tcBorders>
            <w:vAlign w:val="center"/>
          </w:tcPr>
          <w:p w:rsidR="0040130A" w:rsidRPr="000E7AB8" w:rsidRDefault="0040130A" w:rsidP="000C705A">
            <w:r>
              <w:t>SRF Op</w:t>
            </w:r>
            <w:r w:rsidR="001537A4">
              <w:t>eration</w:t>
            </w:r>
            <w:r w:rsidR="031AAF65">
              <w:t>s</w:t>
            </w:r>
          </w:p>
        </w:tc>
      </w:tr>
    </w:tbl>
    <w:p w:rsidR="0040130A" w:rsidRDefault="0040130A" w:rsidP="000C705A"/>
    <w:p w:rsidR="002169BB" w:rsidRPr="001718A7" w:rsidRDefault="00856CD8" w:rsidP="000C705A">
      <w:pPr>
        <w:pStyle w:val="Heading1"/>
      </w:pPr>
      <w:bookmarkStart w:id="1" w:name="_Purpose"/>
      <w:bookmarkEnd w:id="0"/>
      <w:bookmarkEnd w:id="1"/>
      <w:r w:rsidRPr="001718A7">
        <w:t>Purpose</w:t>
      </w:r>
    </w:p>
    <w:p w:rsidR="00B43C3C" w:rsidRPr="009C4FD7" w:rsidRDefault="00B43C3C" w:rsidP="000C705A"/>
    <w:p w:rsidR="00FA156D" w:rsidRPr="009C4FD7" w:rsidRDefault="003C1F69" w:rsidP="000C705A">
      <w:r w:rsidRPr="001718A7">
        <w:t>The purpose of this document</w:t>
      </w:r>
      <w:r w:rsidR="0068082E" w:rsidRPr="001718A7">
        <w:t xml:space="preserve"> </w:t>
      </w:r>
      <w:r w:rsidRPr="001718A7">
        <w:t>is to</w:t>
      </w:r>
      <w:r w:rsidR="00844E9C">
        <w:t xml:space="preserve"> </w:t>
      </w:r>
      <w:r w:rsidR="00D62C8D">
        <w:t xml:space="preserve">provide instructions for installing the downstream </w:t>
      </w:r>
      <w:r w:rsidR="00211A03">
        <w:t xml:space="preserve">ion pump and tee assembly </w:t>
      </w:r>
      <w:r w:rsidR="00D62C8D">
        <w:t>onto the L2HE Cryomodule to facilitate testing in the LERF.</w:t>
      </w:r>
    </w:p>
    <w:p w:rsidR="00FA156D" w:rsidRPr="001718A7" w:rsidRDefault="00FA156D" w:rsidP="000C705A">
      <w:pPr>
        <w:pStyle w:val="Heading1"/>
      </w:pPr>
      <w:r w:rsidRPr="001718A7">
        <w:t>Scope</w:t>
      </w:r>
    </w:p>
    <w:p w:rsidR="00B43C3C" w:rsidRPr="009C4FD7" w:rsidRDefault="00B43C3C" w:rsidP="000C705A"/>
    <w:p w:rsidR="000C705A" w:rsidRDefault="007F3722" w:rsidP="000C705A">
      <w:r w:rsidRPr="001718A7">
        <w:t xml:space="preserve">This </w:t>
      </w:r>
      <w:r w:rsidR="00260FB7">
        <w:t>procedure</w:t>
      </w:r>
      <w:r w:rsidR="00260FB7" w:rsidRPr="001718A7">
        <w:t xml:space="preserve"> </w:t>
      </w:r>
      <w:r w:rsidRPr="001718A7">
        <w:t>applies to</w:t>
      </w:r>
      <w:r w:rsidR="00F708E0">
        <w:t xml:space="preserve"> </w:t>
      </w:r>
      <w:r w:rsidR="00D62C8D">
        <w:t xml:space="preserve">L2HE Cryomodule assembly actions to be taken by trained and knowledgeable Assembly Technicians to cleanly add the downstream </w:t>
      </w:r>
      <w:r w:rsidR="00211A03">
        <w:t xml:space="preserve">ion pump and tee assembly </w:t>
      </w:r>
      <w:r w:rsidR="00D62C8D">
        <w:t>which is required for testing. Details are contained in the attached process steps.</w:t>
      </w:r>
    </w:p>
    <w:p w:rsidR="000C705A" w:rsidRDefault="000C705A" w:rsidP="000C705A"/>
    <w:p w:rsidR="000C705A" w:rsidRPr="009C4FD7" w:rsidRDefault="000C705A" w:rsidP="000C705A"/>
    <w:p w:rsidR="00856CD8" w:rsidRPr="001718A7" w:rsidRDefault="00856CD8" w:rsidP="000C705A">
      <w:pPr>
        <w:pStyle w:val="Heading1"/>
      </w:pPr>
      <w:r w:rsidRPr="001718A7">
        <w:t xml:space="preserve">Terms and Definitions </w:t>
      </w:r>
    </w:p>
    <w:p w:rsidR="00856CD8" w:rsidRDefault="00856CD8" w:rsidP="000C70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7D7363" w:rsidRPr="0035230B" w:rsidTr="00655204">
        <w:tc>
          <w:tcPr>
            <w:tcW w:w="2425" w:type="dxa"/>
            <w:shd w:val="clear" w:color="auto" w:fill="DEEAF6" w:themeFill="accent1" w:themeFillTint="33"/>
          </w:tcPr>
          <w:p w:rsidR="007D7363" w:rsidRPr="0035230B" w:rsidRDefault="007D7363" w:rsidP="00655204">
            <w:r>
              <w:t>Term</w:t>
            </w:r>
          </w:p>
        </w:tc>
        <w:tc>
          <w:tcPr>
            <w:tcW w:w="7645" w:type="dxa"/>
            <w:shd w:val="clear" w:color="auto" w:fill="DEEAF6" w:themeFill="accent1" w:themeFillTint="33"/>
          </w:tcPr>
          <w:p w:rsidR="007D7363" w:rsidRPr="0035230B" w:rsidRDefault="007D7363" w:rsidP="00655204">
            <w:r>
              <w:t>Definition</w:t>
            </w:r>
          </w:p>
        </w:tc>
      </w:tr>
      <w:tr w:rsidR="007D7363" w:rsidRPr="000E7AB8" w:rsidTr="00655204">
        <w:tc>
          <w:tcPr>
            <w:tcW w:w="2425" w:type="dxa"/>
          </w:tcPr>
          <w:p w:rsidR="007D7363" w:rsidRPr="000E7AB8" w:rsidRDefault="00D62C8D" w:rsidP="00655204">
            <w:r>
              <w:t>Slow bleed/pump system</w:t>
            </w:r>
          </w:p>
        </w:tc>
        <w:tc>
          <w:tcPr>
            <w:tcW w:w="7645" w:type="dxa"/>
          </w:tcPr>
          <w:p w:rsidR="007D7363" w:rsidRPr="000E7AB8" w:rsidRDefault="00D62C8D" w:rsidP="00655204">
            <w:r>
              <w:t>Specially outfitted vacuum cart with controls to specifically slow pump and bleed required for beam pipe clean assembly activities.</w:t>
            </w:r>
          </w:p>
        </w:tc>
      </w:tr>
      <w:tr w:rsidR="007D7363" w:rsidRPr="000E7AB8" w:rsidTr="00655204">
        <w:tc>
          <w:tcPr>
            <w:tcW w:w="2425" w:type="dxa"/>
          </w:tcPr>
          <w:p w:rsidR="007D7363" w:rsidRPr="000E7AB8" w:rsidRDefault="007D7363" w:rsidP="00655204">
            <w:r>
              <w:t>&lt;Term 2&gt;</w:t>
            </w:r>
          </w:p>
        </w:tc>
        <w:tc>
          <w:tcPr>
            <w:tcW w:w="7645" w:type="dxa"/>
          </w:tcPr>
          <w:p w:rsidR="007D7363" w:rsidRPr="000E7AB8" w:rsidRDefault="007D7363" w:rsidP="00655204">
            <w:r>
              <w:t>&lt;Definition&gt;</w:t>
            </w:r>
          </w:p>
        </w:tc>
      </w:tr>
      <w:tr w:rsidR="007D7363" w:rsidRPr="000E7AB8" w:rsidTr="00655204">
        <w:tc>
          <w:tcPr>
            <w:tcW w:w="2425" w:type="dxa"/>
          </w:tcPr>
          <w:p w:rsidR="007D7363" w:rsidRPr="000E7AB8" w:rsidRDefault="007D7363" w:rsidP="00655204"/>
        </w:tc>
        <w:tc>
          <w:tcPr>
            <w:tcW w:w="7645" w:type="dxa"/>
          </w:tcPr>
          <w:p w:rsidR="007D7363" w:rsidRPr="000E7AB8" w:rsidRDefault="007D7363" w:rsidP="00655204"/>
        </w:tc>
      </w:tr>
    </w:tbl>
    <w:p w:rsidR="007D7363" w:rsidRDefault="007D7363" w:rsidP="007D7363"/>
    <w:p w:rsidR="007D7363" w:rsidRPr="009C4FD7" w:rsidRDefault="007D7363" w:rsidP="000C705A"/>
    <w:p w:rsidR="000E7AB8" w:rsidRDefault="000E7AB8" w:rsidP="000C705A"/>
    <w:p w:rsidR="00C1263A" w:rsidRDefault="00C1263A" w:rsidP="000C705A"/>
    <w:p w:rsidR="004704CF" w:rsidRPr="001718A7" w:rsidRDefault="004704CF" w:rsidP="000C705A">
      <w:pPr>
        <w:pStyle w:val="Heading1"/>
      </w:pPr>
      <w:r w:rsidRPr="001718A7">
        <w:t xml:space="preserve">Roles </w:t>
      </w:r>
      <w:r w:rsidR="00856CD8" w:rsidRPr="001718A7">
        <w:t>and</w:t>
      </w:r>
      <w:r w:rsidRPr="001718A7">
        <w:t xml:space="preserve"> Responsibilities</w:t>
      </w:r>
    </w:p>
    <w:p w:rsidR="004704CF" w:rsidRPr="000E7AB8" w:rsidRDefault="004704CF" w:rsidP="000C705A"/>
    <w:p w:rsidR="009839B6" w:rsidRPr="000E7AB8" w:rsidRDefault="009839B6" w:rsidP="000C705A">
      <w:r w:rsidRPr="000E7AB8">
        <w:t xml:space="preserve">The following roles </w:t>
      </w:r>
      <w:r w:rsidR="004B264F" w:rsidRPr="000E7AB8">
        <w:t>have responsibilities described i</w:t>
      </w:r>
      <w:r w:rsidRPr="000E7AB8">
        <w:t>n this document</w:t>
      </w:r>
      <w:r w:rsidR="00A32062" w:rsidRPr="000E7AB8">
        <w:t>.</w:t>
      </w:r>
    </w:p>
    <w:p w:rsidR="009839B6" w:rsidRPr="000E7AB8" w:rsidRDefault="009839B6" w:rsidP="000C70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0C705A">
            <w:r w:rsidRPr="0035230B">
              <w:t>Role</w:t>
            </w:r>
          </w:p>
        </w:tc>
        <w:tc>
          <w:tcPr>
            <w:tcW w:w="6295" w:type="dxa"/>
            <w:shd w:val="clear" w:color="auto" w:fill="DEEAF6" w:themeFill="accent1" w:themeFillTint="33"/>
          </w:tcPr>
          <w:p w:rsidR="00D77923" w:rsidRPr="0035230B" w:rsidRDefault="00D77923" w:rsidP="000C705A">
            <w:r w:rsidRPr="0035230B">
              <w:t>Responsibility</w:t>
            </w:r>
          </w:p>
        </w:tc>
      </w:tr>
      <w:tr w:rsidR="00D77923" w:rsidRPr="000E7AB8" w:rsidTr="00215E9D">
        <w:tc>
          <w:tcPr>
            <w:tcW w:w="3775" w:type="dxa"/>
          </w:tcPr>
          <w:p w:rsidR="00D77923" w:rsidRPr="000E7AB8" w:rsidRDefault="00D62C8D" w:rsidP="00C1263A">
            <w:r>
              <w:t>Supervisor</w:t>
            </w:r>
          </w:p>
        </w:tc>
        <w:tc>
          <w:tcPr>
            <w:tcW w:w="6295" w:type="dxa"/>
          </w:tcPr>
          <w:p w:rsidR="00C1263A" w:rsidRPr="000E7AB8" w:rsidRDefault="00D62C8D" w:rsidP="000C705A">
            <w:r>
              <w:t>Will address and monitor work actions are done correctly, to Procedure</w:t>
            </w:r>
          </w:p>
        </w:tc>
      </w:tr>
      <w:tr w:rsidR="00E432AF" w:rsidRPr="000E7AB8" w:rsidTr="00215E9D">
        <w:tc>
          <w:tcPr>
            <w:tcW w:w="3775" w:type="dxa"/>
          </w:tcPr>
          <w:p w:rsidR="00E432AF" w:rsidRPr="000E7AB8" w:rsidRDefault="000D1D7D" w:rsidP="000C705A">
            <w:r>
              <w:t xml:space="preserve">Vacuum </w:t>
            </w:r>
            <w:r w:rsidR="00D62C8D">
              <w:t>Assembly Technician</w:t>
            </w:r>
          </w:p>
        </w:tc>
        <w:tc>
          <w:tcPr>
            <w:tcW w:w="6295" w:type="dxa"/>
          </w:tcPr>
          <w:p w:rsidR="00E432AF" w:rsidRPr="000E7AB8" w:rsidRDefault="00D62C8D" w:rsidP="000D1D7D">
            <w:r>
              <w:t>Technician that has been trained and qualified for clean assembly work. Individual shall also be familiar with specialized pumpi</w:t>
            </w:r>
            <w:r w:rsidR="000D1D7D">
              <w:t xml:space="preserve">ng system and </w:t>
            </w:r>
            <w:r w:rsidR="00C1263A">
              <w:t>appropriate gowning and cleaning techniques.</w:t>
            </w:r>
          </w:p>
        </w:tc>
      </w:tr>
    </w:tbl>
    <w:p w:rsidR="00BE6ADF" w:rsidRDefault="00BE6ADF" w:rsidP="000C705A"/>
    <w:p w:rsidR="007D7363" w:rsidRDefault="007D7363">
      <w:pPr>
        <w:spacing w:line="240" w:lineRule="auto"/>
        <w:rPr>
          <w:rFonts w:ascii="Lucida Bright" w:hAnsi="Lucida Bright" w:cs="Times"/>
          <w:b/>
          <w:sz w:val="28"/>
        </w:rPr>
      </w:pPr>
      <w:r>
        <w:br w:type="page"/>
      </w:r>
    </w:p>
    <w:p w:rsidR="00B61916" w:rsidRPr="00413D73" w:rsidRDefault="009839B6" w:rsidP="000C705A">
      <w:pPr>
        <w:pStyle w:val="Heading1"/>
      </w:pPr>
      <w:r w:rsidRPr="00413D73">
        <w:lastRenderedPageBreak/>
        <w:t>Procedure</w:t>
      </w:r>
    </w:p>
    <w:p w:rsidR="00211A03" w:rsidRPr="00211A03" w:rsidRDefault="00211A03" w:rsidP="00211A03">
      <w:pPr>
        <w:pStyle w:val="ListParagraph"/>
        <w:numPr>
          <w:ilvl w:val="0"/>
          <w:numId w:val="21"/>
        </w:numPr>
        <w:spacing w:after="200"/>
        <w:jc w:val="both"/>
      </w:pPr>
      <w:r w:rsidRPr="00211A03">
        <w:t>Gather the Beam Pipe and all associated parts to be cleaned and send into the main clean room</w:t>
      </w:r>
    </w:p>
    <w:p w:rsidR="00211A03" w:rsidRPr="00211A03" w:rsidRDefault="00211A03" w:rsidP="00211A03">
      <w:pPr>
        <w:pStyle w:val="ListParagraph"/>
        <w:numPr>
          <w:ilvl w:val="0"/>
          <w:numId w:val="21"/>
        </w:numPr>
        <w:spacing w:after="200"/>
        <w:ind w:left="540" w:hanging="180"/>
        <w:jc w:val="both"/>
      </w:pPr>
      <w:r w:rsidRPr="00211A03">
        <w:t xml:space="preserve">Assemble the Ion Pump Tee in the clean room as per the appropriate drawing using standard clean room practices. </w:t>
      </w:r>
    </w:p>
    <w:p w:rsidR="00211A03" w:rsidRPr="00211A03" w:rsidRDefault="00211A03" w:rsidP="00211A03">
      <w:pPr>
        <w:pStyle w:val="ListParagraph"/>
        <w:numPr>
          <w:ilvl w:val="0"/>
          <w:numId w:val="24"/>
        </w:numPr>
        <w:spacing w:after="200"/>
        <w:rPr>
          <w:b/>
        </w:rPr>
      </w:pPr>
      <w:r w:rsidRPr="00211A03">
        <w:t xml:space="preserve">Protect the burst disk at all times </w:t>
      </w:r>
    </w:p>
    <w:p w:rsidR="00211A03" w:rsidRPr="00211A03" w:rsidRDefault="00211A03" w:rsidP="00211A03">
      <w:pPr>
        <w:pStyle w:val="ListParagraph"/>
        <w:numPr>
          <w:ilvl w:val="0"/>
          <w:numId w:val="24"/>
        </w:numPr>
        <w:spacing w:after="200"/>
        <w:rPr>
          <w:b/>
        </w:rPr>
      </w:pPr>
      <w:r w:rsidRPr="00211A03">
        <w:t xml:space="preserve">When installing the titanium (Faraday) window, use a large aluminum magnesium seal.  Tighten the bolts using a star pattern and step up method: 15 ft/lbs, and then 31 ft/fbs.  Repeat the final torque pattern until you no longer get movement on the hardware. </w:t>
      </w:r>
    </w:p>
    <w:p w:rsidR="00211A03" w:rsidRPr="00211A03" w:rsidRDefault="00211A03" w:rsidP="00211A03">
      <w:pPr>
        <w:pStyle w:val="ListParagraph"/>
        <w:numPr>
          <w:ilvl w:val="0"/>
          <w:numId w:val="24"/>
        </w:numPr>
        <w:spacing w:after="200"/>
        <w:rPr>
          <w:b/>
        </w:rPr>
      </w:pPr>
      <w:r w:rsidRPr="00211A03">
        <w:t xml:space="preserve">When installing the 6” conflat blank, only add 4 bolts and lightly torque them. This will function as a dust seal for final assembly. </w:t>
      </w:r>
    </w:p>
    <w:p w:rsidR="00211A03" w:rsidRPr="00211A03" w:rsidRDefault="00211A03" w:rsidP="00211A03">
      <w:pPr>
        <w:pStyle w:val="ListParagraph"/>
        <w:numPr>
          <w:ilvl w:val="0"/>
          <w:numId w:val="21"/>
        </w:numPr>
        <w:spacing w:after="200"/>
        <w:rPr>
          <w:b/>
        </w:rPr>
      </w:pPr>
      <w:r w:rsidRPr="00211A03">
        <w:t xml:space="preserve">When installing the ion pump onto the tee, use studs instead of the    hardware called out on the drawing.  </w:t>
      </w:r>
    </w:p>
    <w:p w:rsidR="00211A03" w:rsidRPr="00211A03" w:rsidRDefault="00211A03" w:rsidP="00211A03">
      <w:pPr>
        <w:pStyle w:val="ListParagraph"/>
        <w:numPr>
          <w:ilvl w:val="0"/>
          <w:numId w:val="21"/>
        </w:numPr>
        <w:spacing w:after="200"/>
        <w:rPr>
          <w:b/>
        </w:rPr>
      </w:pPr>
      <w:r w:rsidRPr="00211A03">
        <w:t>Once the clean room pre-assembly has been completed. Have the assembly DOUBLE-BAGGED AND PLACED ON THE PARTS SHELF FOR FINAL ASSEMBLY ONTO THE CRYOMODULE.</w:t>
      </w:r>
    </w:p>
    <w:p w:rsidR="00211A03" w:rsidRPr="00211A03" w:rsidRDefault="00211A03" w:rsidP="00211A03">
      <w:pPr>
        <w:pStyle w:val="ListParagraph"/>
        <w:numPr>
          <w:ilvl w:val="0"/>
          <w:numId w:val="21"/>
        </w:numPr>
        <w:spacing w:after="200"/>
        <w:rPr>
          <w:b/>
        </w:rPr>
      </w:pPr>
      <w:r w:rsidRPr="00211A03">
        <w:t xml:space="preserve">You are now ready to prepare for assembly onto the Cryomodule using these steps. </w:t>
      </w:r>
    </w:p>
    <w:p w:rsidR="00211A03" w:rsidRPr="00211A03" w:rsidRDefault="00211A03" w:rsidP="00211A03">
      <w:pPr>
        <w:pStyle w:val="ListParagraph"/>
        <w:numPr>
          <w:ilvl w:val="0"/>
          <w:numId w:val="25"/>
        </w:numPr>
        <w:spacing w:after="200"/>
      </w:pPr>
      <w:r w:rsidRPr="00211A03">
        <w:t xml:space="preserve">Begin setting up the laminar flow hood over the downstream end of the Cryomodule. </w:t>
      </w:r>
    </w:p>
    <w:p w:rsidR="00211A03" w:rsidRPr="00211A03" w:rsidRDefault="00211A03" w:rsidP="00211A03">
      <w:pPr>
        <w:pStyle w:val="ListParagraph"/>
        <w:numPr>
          <w:ilvl w:val="0"/>
          <w:numId w:val="22"/>
        </w:numPr>
        <w:spacing w:after="200"/>
        <w:jc w:val="both"/>
      </w:pPr>
      <w:r w:rsidRPr="00211A03">
        <w:t>Cover all other exposed surfaces in the flow hood with plastic sheeting (including the floor)</w:t>
      </w:r>
      <w:r w:rsidRPr="00211A03">
        <w:tab/>
      </w:r>
    </w:p>
    <w:p w:rsidR="00211A03" w:rsidRPr="00211A03" w:rsidRDefault="00211A03" w:rsidP="00211A03">
      <w:pPr>
        <w:pStyle w:val="ListParagraph"/>
        <w:numPr>
          <w:ilvl w:val="0"/>
          <w:numId w:val="22"/>
        </w:numPr>
        <w:spacing w:after="200"/>
        <w:jc w:val="both"/>
      </w:pPr>
      <w:r w:rsidRPr="00211A03">
        <w:t xml:space="preserve">Allow the flow hood to run continuously. </w:t>
      </w:r>
    </w:p>
    <w:p w:rsidR="00211A03" w:rsidRPr="00211A03" w:rsidRDefault="00211A03" w:rsidP="00211A03">
      <w:pPr>
        <w:pStyle w:val="ListParagraph"/>
        <w:numPr>
          <w:ilvl w:val="0"/>
          <w:numId w:val="22"/>
        </w:numPr>
        <w:spacing w:after="200"/>
        <w:jc w:val="both"/>
      </w:pPr>
      <w:r w:rsidRPr="00211A03">
        <w:t>Wipe down all surfaces with Alcohol and then blow off with Ionized N2.</w:t>
      </w:r>
    </w:p>
    <w:p w:rsidR="00211A03" w:rsidRPr="00211A03" w:rsidRDefault="00211A03" w:rsidP="00211A03">
      <w:pPr>
        <w:pStyle w:val="ListParagraph"/>
        <w:numPr>
          <w:ilvl w:val="0"/>
          <w:numId w:val="22"/>
        </w:numPr>
        <w:spacing w:after="200"/>
        <w:jc w:val="both"/>
      </w:pPr>
      <w:r w:rsidRPr="00211A03">
        <w:t>Set up the particle counter and begin monitoring the particle count.</w:t>
      </w:r>
      <w:r w:rsidRPr="00211A03">
        <w:tab/>
        <w:t xml:space="preserve"> </w:t>
      </w:r>
    </w:p>
    <w:p w:rsidR="00211A03" w:rsidRPr="00211A03" w:rsidRDefault="00211A03" w:rsidP="00211A03">
      <w:pPr>
        <w:pStyle w:val="ListParagraph"/>
        <w:numPr>
          <w:ilvl w:val="0"/>
          <w:numId w:val="22"/>
        </w:numPr>
        <w:spacing w:after="200"/>
        <w:jc w:val="both"/>
      </w:pPr>
      <w:r w:rsidRPr="00211A03">
        <w:t xml:space="preserve">Stage all supplies and tools inside the flow hood, on a perforated work surface. </w:t>
      </w:r>
    </w:p>
    <w:p w:rsidR="00211A03" w:rsidRPr="00211A03" w:rsidRDefault="00211A03" w:rsidP="00211A03">
      <w:pPr>
        <w:pStyle w:val="ListParagraph"/>
        <w:numPr>
          <w:ilvl w:val="0"/>
          <w:numId w:val="25"/>
        </w:numPr>
        <w:spacing w:after="200"/>
        <w:rPr>
          <w:b/>
        </w:rPr>
      </w:pPr>
      <w:r w:rsidRPr="00211A03">
        <w:t>Once particle counts have stabilized at zero on the 0.3 micron scale, you are ready to gown up and perform installation.</w:t>
      </w:r>
    </w:p>
    <w:p w:rsidR="00211A03" w:rsidRPr="00211A03" w:rsidRDefault="00211A03" w:rsidP="00211A03">
      <w:pPr>
        <w:pStyle w:val="ListParagraph"/>
        <w:numPr>
          <w:ilvl w:val="0"/>
          <w:numId w:val="25"/>
        </w:numPr>
        <w:spacing w:after="200"/>
      </w:pPr>
      <w:r w:rsidRPr="00211A03">
        <w:t>Make sure you have all tools and hardware needed to perform the installation.  The following steps are the point of no return until installation is complete.</w:t>
      </w:r>
    </w:p>
    <w:p w:rsidR="00211A03" w:rsidRPr="00211A03" w:rsidRDefault="00211A03" w:rsidP="00211A03">
      <w:pPr>
        <w:pStyle w:val="ListParagraph"/>
        <w:numPr>
          <w:ilvl w:val="0"/>
          <w:numId w:val="21"/>
        </w:numPr>
        <w:spacing w:after="200"/>
        <w:rPr>
          <w:b/>
        </w:rPr>
      </w:pPr>
      <w:r w:rsidRPr="00211A03">
        <w:rPr>
          <w:b/>
        </w:rPr>
        <w:t xml:space="preserve"> </w:t>
      </w:r>
      <w:r w:rsidRPr="00211A03">
        <w:t>Enter the flow hood as far away as from the work as possible and don the following NEW packaged clean assembly garments in this order:</w:t>
      </w:r>
    </w:p>
    <w:p w:rsidR="00211A03" w:rsidRPr="00211A03" w:rsidRDefault="00211A03" w:rsidP="00211A03">
      <w:pPr>
        <w:pStyle w:val="ListParagraph"/>
        <w:numPr>
          <w:ilvl w:val="0"/>
          <w:numId w:val="26"/>
        </w:numPr>
        <w:spacing w:after="200"/>
        <w:jc w:val="both"/>
      </w:pPr>
      <w:r w:rsidRPr="00211A03">
        <w:t xml:space="preserve">Hairnet, face mask, yellow gloves (correct size), booties, Full head sock, full clean room coveralls, and white gloves layered over the yellow gloves, </w:t>
      </w:r>
    </w:p>
    <w:p w:rsidR="00211A03" w:rsidRPr="00211A03" w:rsidRDefault="00211A03" w:rsidP="00211A03">
      <w:pPr>
        <w:pStyle w:val="ListParagraph"/>
        <w:numPr>
          <w:ilvl w:val="0"/>
          <w:numId w:val="26"/>
        </w:numPr>
        <w:spacing w:after="200"/>
        <w:jc w:val="both"/>
      </w:pPr>
      <w:r w:rsidRPr="00211A03">
        <w:t>Make sure white glove cuffs cover the cotton elastic wrist cloth on coveralls.</w:t>
      </w:r>
    </w:p>
    <w:p w:rsidR="00211A03" w:rsidRPr="00211A03" w:rsidRDefault="00211A03" w:rsidP="00211A03">
      <w:pPr>
        <w:pStyle w:val="ListParagraph"/>
        <w:numPr>
          <w:ilvl w:val="0"/>
          <w:numId w:val="21"/>
        </w:numPr>
        <w:spacing w:after="200"/>
        <w:jc w:val="both"/>
      </w:pPr>
      <w:r w:rsidRPr="00211A03">
        <w:t xml:space="preserve">Remove the bags from the pre-assembled ion pump tee and blow off with filtered ionized nitrogen, blow off exposed beampipe conflat flange as well until particle count reads 0 on the 0.3 micron scale. </w:t>
      </w:r>
    </w:p>
    <w:p w:rsidR="00211A03" w:rsidRPr="00211A03" w:rsidRDefault="00211A03" w:rsidP="00211A03">
      <w:pPr>
        <w:pStyle w:val="ListParagraph"/>
        <w:numPr>
          <w:ilvl w:val="0"/>
          <w:numId w:val="21"/>
        </w:numPr>
        <w:spacing w:after="200"/>
        <w:jc w:val="both"/>
      </w:pPr>
      <w:r w:rsidRPr="00211A03">
        <w:t xml:space="preserve">Blow off all hardware and gaskets required for the conflat connection to the beam pipe and set aside.  This hardware needs to be brand new and cleaned prior to installation. </w:t>
      </w:r>
    </w:p>
    <w:p w:rsidR="00211A03" w:rsidRPr="00211A03" w:rsidRDefault="00211A03" w:rsidP="00211A03">
      <w:pPr>
        <w:pStyle w:val="ListParagraph"/>
        <w:numPr>
          <w:ilvl w:val="0"/>
          <w:numId w:val="21"/>
        </w:numPr>
        <w:spacing w:after="200"/>
        <w:jc w:val="both"/>
      </w:pPr>
      <w:r w:rsidRPr="00211A03">
        <w:t>Remove all hardware with the exception of 4 bolts in the 2, 4, 8, and 10 o’ clock positions.</w:t>
      </w:r>
    </w:p>
    <w:p w:rsidR="00211A03" w:rsidRPr="00211A03" w:rsidRDefault="00211A03" w:rsidP="00211A03">
      <w:pPr>
        <w:pStyle w:val="ListParagraph"/>
        <w:numPr>
          <w:ilvl w:val="0"/>
          <w:numId w:val="26"/>
        </w:numPr>
        <w:spacing w:after="200"/>
        <w:jc w:val="both"/>
      </w:pPr>
      <w:r w:rsidRPr="00211A03">
        <w:t xml:space="preserve">When loosening hardware, hold the bolt still with a wrench and spin the nuts off of the back.  </w:t>
      </w:r>
    </w:p>
    <w:p w:rsidR="00211A03" w:rsidRPr="00211A03" w:rsidRDefault="00211A03" w:rsidP="00211A03">
      <w:pPr>
        <w:pStyle w:val="ListParagraph"/>
        <w:numPr>
          <w:ilvl w:val="0"/>
          <w:numId w:val="26"/>
        </w:numPr>
        <w:spacing w:after="200"/>
        <w:jc w:val="both"/>
      </w:pPr>
      <w:r w:rsidRPr="00211A03">
        <w:t>Carefully remove each bolt avoiding rubbing them against the thru- hole walls.  DO NOT REUSE THIS HARDWARE FOR INSTALLATION.</w:t>
      </w:r>
    </w:p>
    <w:p w:rsidR="00211A03" w:rsidRPr="00211A03" w:rsidRDefault="00211A03" w:rsidP="00211A03">
      <w:pPr>
        <w:pStyle w:val="ListParagraph"/>
        <w:numPr>
          <w:ilvl w:val="0"/>
          <w:numId w:val="26"/>
        </w:numPr>
        <w:spacing w:after="200"/>
        <w:jc w:val="both"/>
      </w:pPr>
      <w:r w:rsidRPr="00211A03">
        <w:t xml:space="preserve">Blow off inside the thru-holes monitoring the particle counts until they read 0 on the 0.3 scale. </w:t>
      </w:r>
    </w:p>
    <w:p w:rsidR="00211A03" w:rsidRPr="00211A03" w:rsidRDefault="00211A03" w:rsidP="00211A03">
      <w:pPr>
        <w:pStyle w:val="ListParagraph"/>
        <w:numPr>
          <w:ilvl w:val="0"/>
          <w:numId w:val="26"/>
        </w:numPr>
        <w:spacing w:after="200"/>
        <w:jc w:val="both"/>
      </w:pPr>
      <w:r w:rsidRPr="00211A03">
        <w:t>Remove the blanking flange on the ion pump tee and the beam pipe.  Do not blow inside with nitrogen.</w:t>
      </w:r>
    </w:p>
    <w:p w:rsidR="00211A03" w:rsidRPr="00211A03" w:rsidRDefault="00211A03" w:rsidP="00211A03">
      <w:pPr>
        <w:pStyle w:val="ListParagraph"/>
        <w:numPr>
          <w:ilvl w:val="0"/>
          <w:numId w:val="21"/>
        </w:numPr>
        <w:spacing w:after="200"/>
        <w:jc w:val="both"/>
      </w:pPr>
      <w:r w:rsidRPr="00211A03">
        <w:t xml:space="preserve"> Install the tee onto the beampipe flange using the clean previously blown off hardware and gasket. Affix the magnet, support bracket, and hardware.</w:t>
      </w:r>
    </w:p>
    <w:p w:rsidR="00211A03" w:rsidRPr="00211A03" w:rsidRDefault="00211A03" w:rsidP="00211A03">
      <w:pPr>
        <w:pStyle w:val="ListParagraph"/>
        <w:numPr>
          <w:ilvl w:val="0"/>
          <w:numId w:val="21"/>
        </w:numPr>
        <w:spacing w:after="200"/>
        <w:jc w:val="both"/>
      </w:pPr>
      <w:r w:rsidRPr="00211A03">
        <w:t xml:space="preserve"> Install the slow pump down turbo hose onto the ion pump right angle valve.   Activate the slow pump down system. </w:t>
      </w:r>
    </w:p>
    <w:p w:rsidR="00211A03" w:rsidRPr="00211A03" w:rsidRDefault="00211A03" w:rsidP="00211A03">
      <w:pPr>
        <w:pStyle w:val="ListParagraph"/>
        <w:numPr>
          <w:ilvl w:val="0"/>
          <w:numId w:val="27"/>
        </w:numPr>
        <w:spacing w:after="200"/>
        <w:jc w:val="both"/>
      </w:pPr>
      <w:r w:rsidRPr="00211A03">
        <w:lastRenderedPageBreak/>
        <w:t>Leak check the entire assembly and record findings</w:t>
      </w:r>
    </w:p>
    <w:p w:rsidR="00211A03" w:rsidRPr="00211A03" w:rsidRDefault="00211A03" w:rsidP="00211A03">
      <w:pPr>
        <w:pStyle w:val="ListParagraph"/>
        <w:numPr>
          <w:ilvl w:val="0"/>
          <w:numId w:val="27"/>
        </w:numPr>
        <w:spacing w:after="200"/>
        <w:jc w:val="both"/>
      </w:pPr>
      <w:r w:rsidRPr="00211A03">
        <w:t xml:space="preserve">Start the ion pump. </w:t>
      </w:r>
    </w:p>
    <w:p w:rsidR="00211A03" w:rsidRPr="00211A03" w:rsidRDefault="00211A03" w:rsidP="00211A03">
      <w:pPr>
        <w:pStyle w:val="ListParagraph"/>
        <w:numPr>
          <w:ilvl w:val="0"/>
          <w:numId w:val="27"/>
        </w:numPr>
        <w:spacing w:after="200"/>
        <w:jc w:val="both"/>
      </w:pPr>
      <w:r w:rsidRPr="00211A03">
        <w:t>Close the right angle valve on the ion pump.</w:t>
      </w:r>
    </w:p>
    <w:p w:rsidR="00211A03" w:rsidRPr="00211A03" w:rsidRDefault="00211A03" w:rsidP="00211A03">
      <w:pPr>
        <w:pStyle w:val="ListParagraph"/>
        <w:numPr>
          <w:ilvl w:val="0"/>
          <w:numId w:val="27"/>
        </w:numPr>
        <w:spacing w:after="200"/>
        <w:jc w:val="both"/>
      </w:pPr>
      <w:r w:rsidRPr="00211A03">
        <w:t>Shut down the turbo pump and bleed up the hose to the ion pump right angle valve. Monitor the ion pump pressure during the bleed up to make sure the right angle valve does not leak through. If the beam pipe vacuum fluctuates while you are back filling the turbo hose, abort the bleed up, pump down the chamber and notify the Supervisor.</w:t>
      </w:r>
    </w:p>
    <w:p w:rsidR="00211A03" w:rsidRPr="00211A03" w:rsidRDefault="00211A03" w:rsidP="00211A03">
      <w:pPr>
        <w:pStyle w:val="ListParagraph"/>
        <w:numPr>
          <w:ilvl w:val="0"/>
          <w:numId w:val="27"/>
        </w:numPr>
        <w:spacing w:after="200"/>
        <w:jc w:val="both"/>
      </w:pPr>
      <w:r w:rsidRPr="00211A03">
        <w:t>Once the hose is bled up and the beam pipe vacuum remains stable, you are ready to remove the hose and install a clean blown off blanking flange onto the ion pump with clean hardware.</w:t>
      </w:r>
    </w:p>
    <w:p w:rsidR="002D68C0" w:rsidRPr="00211A03" w:rsidRDefault="00211A03" w:rsidP="00211A03">
      <w:pPr>
        <w:ind w:left="720"/>
      </w:pPr>
      <w:r>
        <w:t>12.</w:t>
      </w:r>
      <w:r w:rsidRPr="00211A03">
        <w:t xml:space="preserve"> Slowly open the cold gate valve making the ion pump/beam pipe vacuum common with the </w:t>
      </w:r>
      <w:r>
        <w:t xml:space="preserve">   </w:t>
      </w:r>
      <w:r w:rsidRPr="00211A03">
        <w:t>rest of the cavity string.</w:t>
      </w:r>
    </w:p>
    <w:p w:rsidR="00632F29" w:rsidRPr="00413D73" w:rsidRDefault="00632F29" w:rsidP="000C705A">
      <w:pPr>
        <w:pStyle w:val="Heading1"/>
      </w:pPr>
      <w:bookmarkStart w:id="2" w:name="TSP1004"/>
      <w:bookmarkStart w:id="3" w:name="Section5Reviews"/>
      <w:bookmarkStart w:id="4" w:name="Refdocacronymns"/>
      <w:r w:rsidRPr="00413D73">
        <w:t>References</w:t>
      </w:r>
    </w:p>
    <w:p w:rsidR="0079151A" w:rsidRPr="00413D73" w:rsidRDefault="0079151A" w:rsidP="000C70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0C705A">
            <w:r w:rsidRPr="0035230B">
              <w:t>Document No.</w:t>
            </w:r>
          </w:p>
        </w:tc>
        <w:tc>
          <w:tcPr>
            <w:tcW w:w="8365" w:type="dxa"/>
            <w:shd w:val="clear" w:color="auto" w:fill="DEEAF6" w:themeFill="accent1" w:themeFillTint="33"/>
          </w:tcPr>
          <w:p w:rsidR="00AD3B9D" w:rsidRPr="0035230B" w:rsidRDefault="0035230B" w:rsidP="000C705A">
            <w:r w:rsidRPr="0035230B">
              <w:t>Title</w:t>
            </w:r>
          </w:p>
        </w:tc>
      </w:tr>
      <w:tr w:rsidR="00AD3B9D" w:rsidRPr="00215E9D" w:rsidTr="0035230B">
        <w:tc>
          <w:tcPr>
            <w:tcW w:w="1705" w:type="dxa"/>
          </w:tcPr>
          <w:p w:rsidR="00AD3B9D" w:rsidRPr="00215E9D" w:rsidRDefault="00AD3B9D" w:rsidP="000C705A"/>
        </w:tc>
        <w:tc>
          <w:tcPr>
            <w:tcW w:w="8365" w:type="dxa"/>
          </w:tcPr>
          <w:p w:rsidR="00AD3B9D" w:rsidRPr="00215E9D" w:rsidRDefault="00AD3B9D" w:rsidP="000C705A"/>
        </w:tc>
      </w:tr>
      <w:tr w:rsidR="00AD3B9D" w:rsidRPr="00215E9D" w:rsidTr="0035230B">
        <w:tc>
          <w:tcPr>
            <w:tcW w:w="1705" w:type="dxa"/>
          </w:tcPr>
          <w:p w:rsidR="00AD3B9D" w:rsidRPr="00215E9D" w:rsidRDefault="00AD3B9D" w:rsidP="000C705A"/>
        </w:tc>
        <w:tc>
          <w:tcPr>
            <w:tcW w:w="8365" w:type="dxa"/>
          </w:tcPr>
          <w:p w:rsidR="00AD3B9D" w:rsidRPr="00215E9D" w:rsidRDefault="00AD3B9D" w:rsidP="000C705A"/>
        </w:tc>
      </w:tr>
      <w:tr w:rsidR="00AD3B9D" w:rsidRPr="00215E9D" w:rsidTr="0035230B">
        <w:tc>
          <w:tcPr>
            <w:tcW w:w="1705" w:type="dxa"/>
          </w:tcPr>
          <w:p w:rsidR="00AD3B9D" w:rsidRPr="00215E9D" w:rsidRDefault="00AD3B9D" w:rsidP="000C705A"/>
        </w:tc>
        <w:tc>
          <w:tcPr>
            <w:tcW w:w="8365" w:type="dxa"/>
          </w:tcPr>
          <w:p w:rsidR="00AD3B9D" w:rsidRPr="00215E9D" w:rsidRDefault="00AD3B9D" w:rsidP="000C705A"/>
        </w:tc>
      </w:tr>
    </w:tbl>
    <w:p w:rsidR="00632F29" w:rsidRDefault="00632F29" w:rsidP="000C705A"/>
    <w:p w:rsidR="005D03A2" w:rsidRDefault="005D03A2" w:rsidP="000C705A"/>
    <w:p w:rsidR="0035230B" w:rsidRPr="00842D4E" w:rsidRDefault="0035230B" w:rsidP="000C705A">
      <w:pPr>
        <w:pStyle w:val="Heading1"/>
      </w:pPr>
      <w:r w:rsidRPr="00842D4E">
        <w:t>Release and Revision History</w:t>
      </w:r>
    </w:p>
    <w:p w:rsidR="0035230B" w:rsidRDefault="0035230B" w:rsidP="000C705A"/>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0C705A">
            <w:r w:rsidRPr="00AE4D72">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0C705A">
            <w: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0C705A">
            <w:r>
              <w:t>Effective</w:t>
            </w:r>
            <w:r w:rsidR="0035230B" w:rsidRPr="00AE4D72">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0C705A">
            <w:bookmarkStart w:id="5" w:name="_Hlk70446088"/>
            <w:r>
              <w:t>1</w:t>
            </w:r>
          </w:p>
        </w:tc>
        <w:tc>
          <w:tcPr>
            <w:tcW w:w="6988" w:type="dxa"/>
            <w:tcMar>
              <w:top w:w="0" w:type="dxa"/>
              <w:left w:w="108" w:type="dxa"/>
              <w:bottom w:w="0" w:type="dxa"/>
              <w:right w:w="108" w:type="dxa"/>
            </w:tcMar>
            <w:vAlign w:val="center"/>
            <w:hideMark/>
          </w:tcPr>
          <w:p w:rsidR="00EE1DAD" w:rsidRPr="00413D73" w:rsidRDefault="00EE1DAD" w:rsidP="000C705A">
            <w:r w:rsidRPr="00413D73">
              <w:t>Initial version</w:t>
            </w:r>
          </w:p>
        </w:tc>
        <w:tc>
          <w:tcPr>
            <w:tcW w:w="1893" w:type="dxa"/>
            <w:tcMar>
              <w:top w:w="0" w:type="dxa"/>
              <w:left w:w="108" w:type="dxa"/>
              <w:bottom w:w="0" w:type="dxa"/>
              <w:right w:w="108" w:type="dxa"/>
            </w:tcMar>
            <w:vAlign w:val="center"/>
            <w:hideMark/>
          </w:tcPr>
          <w:p w:rsidR="00EE1DAD" w:rsidRPr="00EE1DAD" w:rsidRDefault="00EE1DAD" w:rsidP="000C705A">
            <w:r w:rsidRPr="00EE1DAD">
              <w:t>DD Mmm YYY</w:t>
            </w:r>
          </w:p>
        </w:tc>
      </w:tr>
      <w:bookmarkEnd w:id="5"/>
    </w:tbl>
    <w:p w:rsidR="0035230B" w:rsidRDefault="0035230B" w:rsidP="000C705A"/>
    <w:p w:rsidR="005D03A2" w:rsidRDefault="005D03A2" w:rsidP="000C705A"/>
    <w:p w:rsidR="0035230B" w:rsidRPr="00842D4E" w:rsidRDefault="0035230B" w:rsidP="000C705A">
      <w:pPr>
        <w:pStyle w:val="Heading1"/>
      </w:pPr>
      <w:r w:rsidRPr="00842D4E">
        <w:t>Approvals</w:t>
      </w:r>
    </w:p>
    <w:p w:rsidR="0035230B" w:rsidRDefault="0035230B" w:rsidP="000C705A"/>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0C705A">
            <w:r w:rsidRPr="00AE4D72">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0C705A">
            <w:r w:rsidRPr="00AE4D72">
              <w:t>Name:</w:t>
            </w:r>
          </w:p>
        </w:tc>
        <w:tc>
          <w:tcPr>
            <w:tcW w:w="3600" w:type="dxa"/>
            <w:shd w:val="clear" w:color="auto" w:fill="DEEAF6"/>
          </w:tcPr>
          <w:p w:rsidR="00EE1DAD" w:rsidRPr="00AE4D72" w:rsidRDefault="00EE1DAD" w:rsidP="000C705A">
            <w:r w:rsidRPr="00AE4D72">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0C705A">
            <w:r w:rsidRPr="00AE4D72">
              <w:t>Date:</w:t>
            </w:r>
          </w:p>
        </w:tc>
      </w:tr>
      <w:tr w:rsidR="00EE1DAD" w:rsidRPr="00413D73" w:rsidTr="00A55467">
        <w:trPr>
          <w:trHeight w:val="141"/>
        </w:trPr>
        <w:tc>
          <w:tcPr>
            <w:tcW w:w="2425" w:type="dxa"/>
            <w:tcMar>
              <w:top w:w="43" w:type="dxa"/>
              <w:left w:w="115" w:type="dxa"/>
              <w:bottom w:w="43" w:type="dxa"/>
              <w:right w:w="115" w:type="dxa"/>
            </w:tcMar>
            <w:vAlign w:val="bottom"/>
          </w:tcPr>
          <w:p w:rsidR="00BC5A48" w:rsidRPr="00844E9C" w:rsidRDefault="00EE1DAD" w:rsidP="000C705A">
            <w:r>
              <w:t>Document</w:t>
            </w:r>
            <w:r w:rsidRPr="00844E9C">
              <w:t xml:space="preserve"> Owner</w:t>
            </w:r>
            <w:r w:rsidR="00BC5A48">
              <w:t xml:space="preserve">/ </w:t>
            </w:r>
            <w:r w:rsidR="00BC5A48">
              <w:t>Subject Matter Expert</w:t>
            </w:r>
          </w:p>
        </w:tc>
        <w:tc>
          <w:tcPr>
            <w:tcW w:w="2160" w:type="dxa"/>
            <w:tcMar>
              <w:top w:w="43" w:type="dxa"/>
              <w:left w:w="115" w:type="dxa"/>
              <w:bottom w:w="43" w:type="dxa"/>
              <w:right w:w="115" w:type="dxa"/>
            </w:tcMar>
            <w:vAlign w:val="bottom"/>
          </w:tcPr>
          <w:p w:rsidR="00EE1DAD" w:rsidRPr="00413D73" w:rsidRDefault="0046285C" w:rsidP="007D7363">
            <w:r>
              <w:t>C.Wilcox</w:t>
            </w:r>
          </w:p>
        </w:tc>
        <w:tc>
          <w:tcPr>
            <w:tcW w:w="3600" w:type="dxa"/>
            <w:vAlign w:val="bottom"/>
          </w:tcPr>
          <w:p w:rsidR="00EE1DAD" w:rsidRPr="00413D73" w:rsidRDefault="00EE1DAD" w:rsidP="000C705A"/>
        </w:tc>
        <w:tc>
          <w:tcPr>
            <w:tcW w:w="1890" w:type="dxa"/>
            <w:tcMar>
              <w:top w:w="43" w:type="dxa"/>
              <w:left w:w="115" w:type="dxa"/>
              <w:bottom w:w="43" w:type="dxa"/>
              <w:right w:w="115" w:type="dxa"/>
            </w:tcMar>
            <w:vAlign w:val="bottom"/>
          </w:tcPr>
          <w:p w:rsidR="00EE1DAD" w:rsidRPr="00413D73" w:rsidRDefault="00EE1DAD" w:rsidP="000C705A">
            <w:pPr>
              <w:rPr>
                <w:rFonts w:cs="Calibri"/>
              </w:rPr>
            </w:pPr>
            <w:r>
              <w:t>DD Mmm YYY</w:t>
            </w:r>
          </w:p>
        </w:tc>
      </w:tr>
      <w:tr w:rsidR="00EE1DAD" w:rsidRPr="00413D73" w:rsidTr="00A55467">
        <w:trPr>
          <w:trHeight w:val="141"/>
        </w:trPr>
        <w:tc>
          <w:tcPr>
            <w:tcW w:w="2425" w:type="dxa"/>
            <w:tcMar>
              <w:top w:w="43" w:type="dxa"/>
              <w:left w:w="115" w:type="dxa"/>
              <w:bottom w:w="43" w:type="dxa"/>
              <w:right w:w="115" w:type="dxa"/>
            </w:tcMar>
            <w:vAlign w:val="bottom"/>
          </w:tcPr>
          <w:p w:rsidR="00EE1DAD" w:rsidRPr="00844E9C" w:rsidRDefault="00BC5A48" w:rsidP="000C705A">
            <w:r>
              <w:t xml:space="preserve">CMA Group </w:t>
            </w:r>
            <w:r w:rsidR="008F2DE2">
              <w:t>Lead</w:t>
            </w:r>
            <w:r w:rsidR="00EE1DAD" w:rsidRPr="00844E9C">
              <w:t xml:space="preserve"> </w:t>
            </w:r>
          </w:p>
        </w:tc>
        <w:tc>
          <w:tcPr>
            <w:tcW w:w="2160" w:type="dxa"/>
            <w:tcMar>
              <w:top w:w="43" w:type="dxa"/>
              <w:left w:w="115" w:type="dxa"/>
              <w:bottom w:w="43" w:type="dxa"/>
              <w:right w:w="115" w:type="dxa"/>
            </w:tcMar>
            <w:vAlign w:val="bottom"/>
          </w:tcPr>
          <w:p w:rsidR="00EE1DAD" w:rsidRPr="00413D73" w:rsidRDefault="00BC5A48" w:rsidP="000C705A">
            <w:r>
              <w:t>J. Fischer</w:t>
            </w:r>
          </w:p>
        </w:tc>
        <w:tc>
          <w:tcPr>
            <w:tcW w:w="3600" w:type="dxa"/>
            <w:vAlign w:val="bottom"/>
          </w:tcPr>
          <w:p w:rsidR="00EE1DAD" w:rsidRPr="00413D73" w:rsidRDefault="00EE1DAD" w:rsidP="000C705A"/>
        </w:tc>
        <w:tc>
          <w:tcPr>
            <w:tcW w:w="1890" w:type="dxa"/>
            <w:tcMar>
              <w:top w:w="43" w:type="dxa"/>
              <w:left w:w="115" w:type="dxa"/>
              <w:bottom w:w="43" w:type="dxa"/>
              <w:right w:w="115" w:type="dxa"/>
            </w:tcMar>
            <w:vAlign w:val="bottom"/>
          </w:tcPr>
          <w:p w:rsidR="00EE1DAD" w:rsidRPr="00413D73" w:rsidRDefault="00EE1DAD" w:rsidP="000C705A">
            <w:pPr>
              <w:rPr>
                <w:rFonts w:cs="Calibri"/>
              </w:rPr>
            </w:pPr>
            <w:r>
              <w:t>DD Mmm YYY</w:t>
            </w:r>
          </w:p>
        </w:tc>
      </w:tr>
      <w:tr w:rsidR="008F2DE2" w:rsidRPr="00413D73" w:rsidTr="00A55467">
        <w:trPr>
          <w:trHeight w:val="141"/>
        </w:trPr>
        <w:tc>
          <w:tcPr>
            <w:tcW w:w="2425" w:type="dxa"/>
            <w:tcMar>
              <w:top w:w="43" w:type="dxa"/>
              <w:left w:w="115" w:type="dxa"/>
              <w:bottom w:w="43" w:type="dxa"/>
              <w:right w:w="115" w:type="dxa"/>
            </w:tcMar>
            <w:vAlign w:val="bottom"/>
          </w:tcPr>
          <w:p w:rsidR="008F2DE2" w:rsidRDefault="007D7363" w:rsidP="000C705A">
            <w:r>
              <w:t>Department Head</w:t>
            </w:r>
          </w:p>
        </w:tc>
        <w:tc>
          <w:tcPr>
            <w:tcW w:w="2160" w:type="dxa"/>
            <w:tcMar>
              <w:top w:w="43" w:type="dxa"/>
              <w:left w:w="115" w:type="dxa"/>
              <w:bottom w:w="43" w:type="dxa"/>
              <w:right w:w="115" w:type="dxa"/>
            </w:tcMar>
            <w:vAlign w:val="bottom"/>
          </w:tcPr>
          <w:p w:rsidR="008F2DE2" w:rsidRDefault="007D7363" w:rsidP="000C705A">
            <w:r>
              <w:t>T. Reilly</w:t>
            </w:r>
          </w:p>
        </w:tc>
        <w:tc>
          <w:tcPr>
            <w:tcW w:w="3600" w:type="dxa"/>
            <w:vAlign w:val="bottom"/>
          </w:tcPr>
          <w:p w:rsidR="008F2DE2" w:rsidRPr="00413D73" w:rsidRDefault="008F2DE2" w:rsidP="000C705A"/>
        </w:tc>
        <w:tc>
          <w:tcPr>
            <w:tcW w:w="1890" w:type="dxa"/>
            <w:tcMar>
              <w:top w:w="43" w:type="dxa"/>
              <w:left w:w="115" w:type="dxa"/>
              <w:bottom w:w="43" w:type="dxa"/>
              <w:right w:w="115" w:type="dxa"/>
            </w:tcMar>
            <w:vAlign w:val="bottom"/>
          </w:tcPr>
          <w:p w:rsidR="008F2DE2" w:rsidRDefault="008F2DE2" w:rsidP="000C705A">
            <w:r>
              <w:t>DD Mmm YYY</w:t>
            </w:r>
          </w:p>
        </w:tc>
      </w:tr>
    </w:tbl>
    <w:p w:rsidR="004A1704" w:rsidRPr="00413D73" w:rsidRDefault="004A1704" w:rsidP="000C705A">
      <w:bookmarkStart w:id="6" w:name="_GoBack"/>
      <w:bookmarkEnd w:id="2"/>
      <w:bookmarkEnd w:id="3"/>
      <w:bookmarkEnd w:id="4"/>
      <w:bookmarkEnd w:id="6"/>
    </w:p>
    <w:sectPr w:rsidR="004A1704" w:rsidRPr="00413D73" w:rsidSect="00B43C3C">
      <w:footerReference w:type="default" r:id="rId11"/>
      <w:footerReference w:type="first" r:id="rId12"/>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05A" w:rsidRDefault="000C705A" w:rsidP="000C705A">
      <w:r>
        <w:separator/>
      </w:r>
    </w:p>
    <w:p w:rsidR="000C705A" w:rsidRDefault="000C705A" w:rsidP="000C705A"/>
    <w:p w:rsidR="000C705A" w:rsidRDefault="000C705A" w:rsidP="000C705A"/>
  </w:endnote>
  <w:endnote w:type="continuationSeparator" w:id="0">
    <w:p w:rsidR="000C705A" w:rsidRDefault="000C705A" w:rsidP="000C705A">
      <w:r>
        <w:continuationSeparator/>
      </w:r>
    </w:p>
    <w:p w:rsidR="000C705A" w:rsidRDefault="000C705A" w:rsidP="000C705A"/>
    <w:p w:rsidR="000C705A" w:rsidRDefault="000C705A" w:rsidP="000C7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363" w:rsidRDefault="00692A35">
    <w:pPr>
      <w:pStyle w:val="Footer"/>
    </w:pPr>
    <w:fldSimple w:instr=" FILENAME   \* MERGEFORMAT ">
      <w:r w:rsidR="00B91B08">
        <w:rPr>
          <w:noProof/>
        </w:rPr>
        <w:t>L2HE-CM-ASSY-DSIP</w:t>
      </w:r>
    </w:fldSimple>
    <w:r w:rsidR="007D7363">
      <w:ptab w:relativeTo="margin" w:alignment="center" w:leader="none"/>
    </w:r>
    <w:r w:rsidR="007D7363">
      <w:fldChar w:fldCharType="begin"/>
    </w:r>
    <w:r w:rsidR="007D7363">
      <w:instrText xml:space="preserve"> DATE \@ "M/d/yyyy" </w:instrText>
    </w:r>
    <w:r w:rsidR="007D7363">
      <w:fldChar w:fldCharType="separate"/>
    </w:r>
    <w:r w:rsidR="00BC5A48">
      <w:rPr>
        <w:noProof/>
      </w:rPr>
      <w:t>10/30/2023</w:t>
    </w:r>
    <w:r w:rsidR="007D7363">
      <w:fldChar w:fldCharType="end"/>
    </w:r>
    <w:r w:rsidR="007D7363">
      <w:ptab w:relativeTo="margin" w:alignment="right" w:leader="none"/>
    </w:r>
    <w:r w:rsidR="007D7363">
      <w:t xml:space="preserve">Page </w:t>
    </w:r>
    <w:r w:rsidR="007D7363">
      <w:fldChar w:fldCharType="begin"/>
    </w:r>
    <w:r w:rsidR="007D7363">
      <w:instrText xml:space="preserve"> PAGE   \* MERGEFORMAT </w:instrText>
    </w:r>
    <w:r w:rsidR="007D7363">
      <w:fldChar w:fldCharType="separate"/>
    </w:r>
    <w:r w:rsidR="00B91B08">
      <w:rPr>
        <w:noProof/>
      </w:rPr>
      <w:t>2</w:t>
    </w:r>
    <w:r w:rsidR="007D7363">
      <w:fldChar w:fldCharType="end"/>
    </w:r>
    <w:r w:rsidR="007D7363">
      <w:t xml:space="preserve"> of </w:t>
    </w:r>
    <w:fldSimple w:instr=" NUMPAGES   \* MERGEFORMAT ">
      <w:r w:rsidR="00B91B08">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04" w:rsidRPr="000076FD" w:rsidRDefault="004A1704" w:rsidP="000C705A">
    <w:pPr>
      <w:pStyle w:val="Footer"/>
    </w:pPr>
    <w:r w:rsidRPr="000076FD">
      <w:t xml:space="preserve">Page </w:t>
    </w:r>
    <w:r>
      <w:t>1</w:t>
    </w:r>
    <w:r w:rsidRPr="000076FD">
      <w:t xml:space="preserve"> of </w:t>
    </w:r>
    <w:r w:rsidR="00B91B08">
      <w:fldChar w:fldCharType="begin"/>
    </w:r>
    <w:r w:rsidR="00B91B08">
      <w:instrText xml:space="preserve"> SECTIONPAGES  </w:instrText>
    </w:r>
    <w:r w:rsidR="00B91B08">
      <w:fldChar w:fldCharType="separate"/>
    </w:r>
    <w:r w:rsidR="00B91B08">
      <w:rPr>
        <w:noProof/>
      </w:rPr>
      <w:t>3</w:t>
    </w:r>
    <w:r w:rsidR="00B91B0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05A" w:rsidRDefault="000C705A" w:rsidP="000C705A">
      <w:r>
        <w:separator/>
      </w:r>
    </w:p>
    <w:p w:rsidR="000C705A" w:rsidRDefault="000C705A" w:rsidP="000C705A"/>
    <w:p w:rsidR="000C705A" w:rsidRDefault="000C705A" w:rsidP="000C705A"/>
  </w:footnote>
  <w:footnote w:type="continuationSeparator" w:id="0">
    <w:p w:rsidR="000C705A" w:rsidRDefault="000C705A" w:rsidP="000C705A">
      <w:r>
        <w:continuationSeparator/>
      </w:r>
    </w:p>
    <w:p w:rsidR="000C705A" w:rsidRDefault="000C705A" w:rsidP="000C705A"/>
    <w:p w:rsidR="000C705A" w:rsidRDefault="000C705A" w:rsidP="000C705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180"/>
    <w:multiLevelType w:val="hybridMultilevel"/>
    <w:tmpl w:val="47FC11F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7464B0A"/>
    <w:multiLevelType w:val="multilevel"/>
    <w:tmpl w:val="08D4F4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5739F7"/>
    <w:multiLevelType w:val="hybridMultilevel"/>
    <w:tmpl w:val="F09C5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7B7022"/>
    <w:multiLevelType w:val="hybridMultilevel"/>
    <w:tmpl w:val="6DF8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932ED"/>
    <w:multiLevelType w:val="hybridMultilevel"/>
    <w:tmpl w:val="40988E46"/>
    <w:lvl w:ilvl="0" w:tplc="04090001">
      <w:start w:val="1"/>
      <w:numFmt w:val="bullet"/>
      <w:lvlText w:val=""/>
      <w:lvlJc w:val="left"/>
      <w:pPr>
        <w:ind w:left="1440" w:hanging="360"/>
      </w:pPr>
      <w:rPr>
        <w:rFonts w:ascii="Symbol" w:hAnsi="Symbol" w:hint="default"/>
      </w:rPr>
    </w:lvl>
    <w:lvl w:ilvl="1" w:tplc="DFBE1992">
      <w:numFmt w:val="bullet"/>
      <w:lvlText w:val="•"/>
      <w:lvlJc w:val="left"/>
      <w:pPr>
        <w:ind w:left="2520" w:hanging="72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597C26"/>
    <w:multiLevelType w:val="hybridMultilevel"/>
    <w:tmpl w:val="384AB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D5384E"/>
    <w:multiLevelType w:val="hybridMultilevel"/>
    <w:tmpl w:val="8C10D2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0DC7FE0"/>
    <w:multiLevelType w:val="hybridMultilevel"/>
    <w:tmpl w:val="E1EA55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F0E50"/>
    <w:multiLevelType w:val="hybridMultilevel"/>
    <w:tmpl w:val="67FC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ED26E27"/>
    <w:multiLevelType w:val="hybridMultilevel"/>
    <w:tmpl w:val="50E83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1"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BB4CDA"/>
    <w:multiLevelType w:val="hybridMultilevel"/>
    <w:tmpl w:val="07826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24"/>
  </w:num>
  <w:num w:numId="3">
    <w:abstractNumId w:val="20"/>
  </w:num>
  <w:num w:numId="4">
    <w:abstractNumId w:val="19"/>
  </w:num>
  <w:num w:numId="5">
    <w:abstractNumId w:val="1"/>
  </w:num>
  <w:num w:numId="6">
    <w:abstractNumId w:val="21"/>
  </w:num>
  <w:num w:numId="7">
    <w:abstractNumId w:val="5"/>
  </w:num>
  <w:num w:numId="8">
    <w:abstractNumId w:val="15"/>
  </w:num>
  <w:num w:numId="9">
    <w:abstractNumId w:val="2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3"/>
  </w:num>
  <w:num w:numId="14">
    <w:abstractNumId w:val="16"/>
  </w:num>
  <w:num w:numId="15">
    <w:abstractNumId w:val="25"/>
  </w:num>
  <w:num w:numId="16">
    <w:abstractNumId w:val="12"/>
  </w:num>
  <w:num w:numId="17">
    <w:abstractNumId w:val="3"/>
  </w:num>
  <w:num w:numId="18">
    <w:abstractNumId w:val="10"/>
  </w:num>
  <w:num w:numId="19">
    <w:abstractNumId w:val="11"/>
  </w:num>
  <w:num w:numId="20">
    <w:abstractNumId w:val="14"/>
  </w:num>
  <w:num w:numId="21">
    <w:abstractNumId w:val="7"/>
  </w:num>
  <w:num w:numId="22">
    <w:abstractNumId w:val="8"/>
  </w:num>
  <w:num w:numId="23">
    <w:abstractNumId w:val="17"/>
  </w:num>
  <w:num w:numId="24">
    <w:abstractNumId w:val="0"/>
  </w:num>
  <w:num w:numId="25">
    <w:abstractNumId w:val="9"/>
  </w:num>
  <w:num w:numId="26">
    <w:abstractNumId w:val="23"/>
  </w:num>
  <w:num w:numId="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0C705A"/>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C705A"/>
    <w:rsid w:val="000D1D7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1A03"/>
    <w:rsid w:val="0021348D"/>
    <w:rsid w:val="00215E9D"/>
    <w:rsid w:val="002169BB"/>
    <w:rsid w:val="002312FA"/>
    <w:rsid w:val="0023133E"/>
    <w:rsid w:val="002341C1"/>
    <w:rsid w:val="00236D22"/>
    <w:rsid w:val="00236D52"/>
    <w:rsid w:val="00237FD1"/>
    <w:rsid w:val="00241C2C"/>
    <w:rsid w:val="00243EA5"/>
    <w:rsid w:val="00245103"/>
    <w:rsid w:val="0024536D"/>
    <w:rsid w:val="002470C6"/>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094A"/>
    <w:rsid w:val="0040130A"/>
    <w:rsid w:val="00403494"/>
    <w:rsid w:val="004074DC"/>
    <w:rsid w:val="004108DB"/>
    <w:rsid w:val="00413D73"/>
    <w:rsid w:val="0041421A"/>
    <w:rsid w:val="00415171"/>
    <w:rsid w:val="004178B2"/>
    <w:rsid w:val="00417F4F"/>
    <w:rsid w:val="004216BF"/>
    <w:rsid w:val="00426C16"/>
    <w:rsid w:val="00426F9B"/>
    <w:rsid w:val="004302DC"/>
    <w:rsid w:val="00431F32"/>
    <w:rsid w:val="00434FE2"/>
    <w:rsid w:val="00436DE1"/>
    <w:rsid w:val="00446040"/>
    <w:rsid w:val="00446EFC"/>
    <w:rsid w:val="00452777"/>
    <w:rsid w:val="00454E3E"/>
    <w:rsid w:val="00460162"/>
    <w:rsid w:val="0046285C"/>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17C40"/>
    <w:rsid w:val="00521CE4"/>
    <w:rsid w:val="0052241C"/>
    <w:rsid w:val="00524BD3"/>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3B59"/>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2A35"/>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D7363"/>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2DCD"/>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065AD"/>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6732F"/>
    <w:rsid w:val="00A7060B"/>
    <w:rsid w:val="00A75800"/>
    <w:rsid w:val="00A80358"/>
    <w:rsid w:val="00A81B42"/>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B08"/>
    <w:rsid w:val="00B91EF6"/>
    <w:rsid w:val="00B92A00"/>
    <w:rsid w:val="00B9755C"/>
    <w:rsid w:val="00BB3725"/>
    <w:rsid w:val="00BB42A7"/>
    <w:rsid w:val="00BB4E5F"/>
    <w:rsid w:val="00BB7343"/>
    <w:rsid w:val="00BB796A"/>
    <w:rsid w:val="00BB7D0D"/>
    <w:rsid w:val="00BC20E9"/>
    <w:rsid w:val="00BC25EE"/>
    <w:rsid w:val="00BC4027"/>
    <w:rsid w:val="00BC5A48"/>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263A"/>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2C8D"/>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09CD"/>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19B516"/>
  <w15:chartTrackingRefBased/>
  <w15:docId w15:val="{172DF43A-7316-4D92-8E5A-038071FA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05A"/>
    <w:pPr>
      <w:spacing w:line="276" w:lineRule="auto"/>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0C705A"/>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0C705A"/>
    <w:pPr>
      <w:numPr>
        <w:ilvl w:val="2"/>
        <w:numId w:val="5"/>
      </w:numPr>
      <w:ind w:left="900"/>
      <w:jc w:val="both"/>
      <w:outlineLvl w:val="2"/>
    </w:pPr>
  </w:style>
  <w:style w:type="paragraph" w:styleId="Heading4">
    <w:name w:val="heading 4"/>
    <w:basedOn w:val="Normal"/>
    <w:next w:val="Normal"/>
    <w:link w:val="Heading4Char"/>
    <w:qFormat/>
    <w:rsid w:val="00AB6D85"/>
    <w:pPr>
      <w:numPr>
        <w:ilvl w:val="3"/>
        <w:numId w:val="5"/>
      </w:numPr>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0C705A"/>
    <w:rPr>
      <w:rFonts w:ascii="Lucida Sans" w:eastAsia="Times New Roman" w:hAnsi="Lucida Sans" w:cs="Calibri"/>
      <w:b/>
      <w:color w:val="000000" w:themeColor="text1"/>
      <w:szCs w:val="24"/>
    </w:rPr>
  </w:style>
  <w:style w:type="character" w:customStyle="1" w:styleId="Heading3Char">
    <w:name w:val="Heading 3 Char"/>
    <w:link w:val="Heading3"/>
    <w:rsid w:val="000C705A"/>
    <w:rPr>
      <w:rFonts w:ascii="Lucida Sans" w:eastAsia="Times New Roman" w:hAnsi="Lucida Sans" w:cstheme="minorHAnsi"/>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35724-0894-46DB-99DA-75ACCEE04BC9}">
  <ds:schemaRefs>
    <ds:schemaRef ds:uri="http://schemas.microsoft.com/office/infopath/2007/PartnerControls"/>
    <ds:schemaRef ds:uri="http://purl.org/dc/elements/1.1/"/>
    <ds:schemaRef ds:uri="http://schemas.microsoft.com/office/2006/metadata/properties"/>
    <ds:schemaRef ds:uri="8d24de50-05d1-4ead-956f-39ed5306b4a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75E90D4-56D3-4C08-99CD-CBE41CC7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Ganey</dc:creator>
  <cp:keywords/>
  <cp:lastModifiedBy>John Fischer</cp:lastModifiedBy>
  <cp:revision>2</cp:revision>
  <cp:lastPrinted>2020-02-11T15:55:00Z</cp:lastPrinted>
  <dcterms:created xsi:type="dcterms:W3CDTF">2023-10-30T15:53:00Z</dcterms:created>
  <dcterms:modified xsi:type="dcterms:W3CDTF">2023-10-30T15:53:00Z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