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5F" w:rsidRDefault="007C045F"/>
    <w:tbl>
      <w:tblPr>
        <w:tblpPr w:leftFromText="180" w:rightFromText="180" w:vertAnchor="text" w:horzAnchor="margin" w:tblpY="-221"/>
        <w:tblW w:w="10183" w:type="dxa"/>
        <w:tblBorders>
          <w:top w:val="single" w:sz="18" w:space="0" w:color="000000" w:themeColor="text1"/>
          <w:bottom w:val="single" w:sz="18" w:space="0" w:color="000000" w:themeColor="text1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B27BAA" w:rsidRPr="00BE6ADF" w:rsidTr="00843193">
        <w:tc>
          <w:tcPr>
            <w:tcW w:w="10183" w:type="dxa"/>
          </w:tcPr>
          <w:p w:rsidR="00B27BAA" w:rsidRPr="00BE6ADF" w:rsidRDefault="005369CC" w:rsidP="00957FE4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bCs/>
                <w:color w:val="C00000"/>
                <w:sz w:val="40"/>
                <w:szCs w:val="40"/>
              </w:rPr>
            </w:pPr>
            <w:bookmarkStart w:id="0" w:name="Overview"/>
            <w:r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EIC591 </w:t>
            </w:r>
            <w:r w:rsidR="00E649C2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PEP </w:t>
            </w:r>
            <w:r w:rsidR="00957FE4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 xml:space="preserve">Traceability </w:t>
            </w:r>
            <w:r w:rsidR="00B27BAA">
              <w:rPr>
                <w:rStyle w:val="normaltextrun"/>
                <w:rFonts w:ascii="Lucida Bright" w:hAnsi="Lucida Bright"/>
                <w:b/>
                <w:bCs/>
                <w:color w:val="C00000"/>
                <w:sz w:val="40"/>
                <w:szCs w:val="40"/>
                <w:shd w:val="clear" w:color="auto" w:fill="FFFFFF"/>
              </w:rPr>
              <w:t>Form</w:t>
            </w:r>
          </w:p>
        </w:tc>
      </w:tr>
    </w:tbl>
    <w:p w:rsidR="007C045F" w:rsidRDefault="007C045F"/>
    <w:tbl>
      <w:tblPr>
        <w:tblpPr w:leftFromText="180" w:rightFromText="180" w:vertAnchor="text" w:horzAnchor="margin" w:tblpY="-221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690"/>
        <w:gridCol w:w="1800"/>
        <w:gridCol w:w="3073"/>
      </w:tblGrid>
      <w:tr w:rsidR="00B27BAA" w:rsidRPr="000E7AB8" w:rsidTr="00407E9D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27BAA" w:rsidRPr="00AE4D72" w:rsidRDefault="007C045F" w:rsidP="00B27BAA">
            <w:pPr>
              <w:rPr>
                <w:b/>
              </w:rPr>
            </w:pPr>
            <w:r>
              <w:rPr>
                <w:b/>
              </w:rPr>
              <w:t>Project</w:t>
            </w:r>
            <w:r w:rsidR="00B27BAA" w:rsidRPr="00AE4D72">
              <w:rPr>
                <w:b/>
              </w:rPr>
              <w:t>:</w:t>
            </w:r>
          </w:p>
        </w:tc>
        <w:tc>
          <w:tcPr>
            <w:tcW w:w="3690" w:type="dxa"/>
            <w:vAlign w:val="center"/>
          </w:tcPr>
          <w:p w:rsidR="00B27BAA" w:rsidRPr="000E7AB8" w:rsidRDefault="00EF6670" w:rsidP="00B27BAA">
            <w:r>
              <w:t>EIC591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27BAA" w:rsidRPr="00AE4D72" w:rsidRDefault="007C045F" w:rsidP="00231F19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231F19">
              <w:rPr>
                <w:b/>
              </w:rPr>
              <w:t>Coordinator</w:t>
            </w:r>
            <w:r>
              <w:rPr>
                <w:b/>
              </w:rPr>
              <w:t>:</w:t>
            </w:r>
          </w:p>
        </w:tc>
        <w:tc>
          <w:tcPr>
            <w:tcW w:w="3073" w:type="dxa"/>
            <w:vAlign w:val="center"/>
          </w:tcPr>
          <w:p w:rsidR="00B27BAA" w:rsidRPr="000E7AB8" w:rsidRDefault="00EF6670" w:rsidP="00B27BAA">
            <w:r>
              <w:t>David Savransky</w:t>
            </w:r>
          </w:p>
        </w:tc>
      </w:tr>
      <w:bookmarkEnd w:id="0"/>
    </w:tbl>
    <w:p w:rsidR="009D6A23" w:rsidRPr="009C4FD7" w:rsidRDefault="009D6A23" w:rsidP="00215E9D"/>
    <w:p w:rsidR="00856CD8" w:rsidRPr="001718A7" w:rsidRDefault="009E579C" w:rsidP="00215E9D">
      <w:pPr>
        <w:pStyle w:val="Heading1"/>
      </w:pPr>
      <w:r>
        <w:t>Form</w:t>
      </w:r>
    </w:p>
    <w:p w:rsidR="00856CD8" w:rsidRPr="009C4FD7" w:rsidRDefault="00856CD8" w:rsidP="00215E9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1"/>
        <w:gridCol w:w="2407"/>
        <w:gridCol w:w="1565"/>
        <w:gridCol w:w="1617"/>
      </w:tblGrid>
      <w:tr w:rsidR="0078719B" w:rsidRPr="00270FF8" w:rsidTr="00BE66A1">
        <w:trPr>
          <w:trHeight w:val="432"/>
        </w:trPr>
        <w:tc>
          <w:tcPr>
            <w:tcW w:w="2225" w:type="pct"/>
            <w:vAlign w:val="center"/>
          </w:tcPr>
          <w:p w:rsidR="00436E73" w:rsidRPr="00270FF8" w:rsidRDefault="00436E73" w:rsidP="00A325C4">
            <w:pPr>
              <w:jc w:val="center"/>
              <w:rPr>
                <w:b/>
              </w:rPr>
            </w:pPr>
            <w:r>
              <w:rPr>
                <w:b/>
              </w:rPr>
              <w:t>Part Name</w:t>
            </w:r>
          </w:p>
        </w:tc>
        <w:tc>
          <w:tcPr>
            <w:tcW w:w="1195" w:type="pct"/>
            <w:vAlign w:val="center"/>
          </w:tcPr>
          <w:p w:rsidR="0078719B" w:rsidRDefault="00436E73" w:rsidP="00A325C4">
            <w:pPr>
              <w:jc w:val="center"/>
              <w:rPr>
                <w:b/>
              </w:rPr>
            </w:pPr>
            <w:r>
              <w:rPr>
                <w:b/>
              </w:rPr>
              <w:t>Part</w:t>
            </w:r>
            <w:r w:rsidR="00826561">
              <w:rPr>
                <w:b/>
              </w:rPr>
              <w:t>/DWG</w:t>
            </w:r>
            <w:r>
              <w:rPr>
                <w:b/>
              </w:rPr>
              <w:t xml:space="preserve"> </w:t>
            </w:r>
          </w:p>
          <w:p w:rsidR="00436E73" w:rsidRPr="00270FF8" w:rsidRDefault="00436E73" w:rsidP="00A325C4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777" w:type="pct"/>
            <w:vAlign w:val="center"/>
          </w:tcPr>
          <w:p w:rsidR="0078719B" w:rsidRDefault="00436E73" w:rsidP="00A325C4">
            <w:pPr>
              <w:jc w:val="center"/>
              <w:rPr>
                <w:b/>
              </w:rPr>
            </w:pPr>
            <w:r w:rsidRPr="00270FF8">
              <w:rPr>
                <w:b/>
              </w:rPr>
              <w:t>Serialization</w:t>
            </w:r>
          </w:p>
          <w:p w:rsidR="00436E73" w:rsidRPr="00270FF8" w:rsidRDefault="00436E73" w:rsidP="00A325C4">
            <w:pPr>
              <w:jc w:val="center"/>
              <w:rPr>
                <w:b/>
              </w:rPr>
            </w:pPr>
            <w:r w:rsidRPr="00270FF8">
              <w:rPr>
                <w:b/>
              </w:rPr>
              <w:t>Format</w:t>
            </w:r>
          </w:p>
        </w:tc>
        <w:tc>
          <w:tcPr>
            <w:tcW w:w="803" w:type="pct"/>
            <w:vAlign w:val="center"/>
          </w:tcPr>
          <w:p w:rsidR="0078719B" w:rsidRDefault="00436E73" w:rsidP="00BE66A1">
            <w:pPr>
              <w:jc w:val="center"/>
              <w:rPr>
                <w:b/>
              </w:rPr>
            </w:pPr>
            <w:r w:rsidRPr="00270FF8">
              <w:rPr>
                <w:b/>
              </w:rPr>
              <w:t>Traceability</w:t>
            </w:r>
          </w:p>
          <w:p w:rsidR="00436E73" w:rsidRPr="00270FF8" w:rsidRDefault="00C14F1F" w:rsidP="00BE66A1">
            <w:pPr>
              <w:jc w:val="center"/>
              <w:rPr>
                <w:b/>
              </w:rPr>
            </w:pPr>
            <w:r>
              <w:rPr>
                <w:b/>
              </w:rPr>
              <w:t>Commitment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6”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10”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13.25”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16” RF Gasket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Beamline All Metal Gate Valve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Pumpdrop 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All Metal Gate Valve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Beamline Spool Piece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VAT Right Angle Valve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54132-GE02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Vacuum Vessel Transition Ring (cleanroom)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Small Warm to Cold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Bare SRF Cavity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Tanked SRF Cavity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FPC Cleanroom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Large Warm to Cold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BLA Cleanroom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Liquid Level Probe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Tuner Body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Tuner Motor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JL0152141</w:t>
            </w:r>
          </w:p>
        </w:tc>
        <w:tc>
          <w:tcPr>
            <w:tcW w:w="777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Tuner Piezo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FPC Bellows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Field Probe RF Cable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Thermal Shield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Spaceframe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Inner Magnetic Shield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Outer Magnetic Shield</w:t>
            </w:r>
          </w:p>
        </w:tc>
        <w:tc>
          <w:tcPr>
            <w:tcW w:w="1195" w:type="pct"/>
          </w:tcPr>
          <w:p w:rsidR="00BE66A1" w:rsidRDefault="00BE66A1" w:rsidP="00BE66A1">
            <w:r w:rsidRPr="000C304B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Instrumentation Feedthrough Weldment</w:t>
            </w:r>
          </w:p>
        </w:tc>
        <w:tc>
          <w:tcPr>
            <w:tcW w:w="1195" w:type="pct"/>
          </w:tcPr>
          <w:p w:rsidR="00BE66A1" w:rsidRDefault="00BE66A1" w:rsidP="00BE66A1">
            <w:r w:rsidRPr="000C304B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DE7688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Vacuum Vessel Assembly</w:t>
            </w:r>
          </w:p>
        </w:tc>
        <w:tc>
          <w:tcPr>
            <w:tcW w:w="1195" w:type="pct"/>
          </w:tcPr>
          <w:p w:rsidR="00BE66A1" w:rsidRDefault="00BE66A1" w:rsidP="00BE66A1">
            <w:r w:rsidRPr="000C304B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DE7688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 xml:space="preserve">Vacuum Vessel Transition Ring </w:t>
            </w:r>
          </w:p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(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final assembly</w:t>
            </w:r>
            <w:r>
              <w:rPr>
                <w:rFonts w:ascii="Consolas" w:hAnsi="Consolas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5" w:type="pct"/>
          </w:tcPr>
          <w:p w:rsidR="00BE66A1" w:rsidRDefault="00BE66A1" w:rsidP="00BE66A1">
            <w:r w:rsidRPr="001C769A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FE101F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Heat Exchanger Assembly</w:t>
            </w:r>
          </w:p>
        </w:tc>
        <w:tc>
          <w:tcPr>
            <w:tcW w:w="1195" w:type="pct"/>
          </w:tcPr>
          <w:p w:rsidR="00BE66A1" w:rsidRDefault="00BE66A1" w:rsidP="00BE66A1">
            <w:r w:rsidRPr="00152B8C">
              <w:rPr>
                <w:rFonts w:ascii="Consolas" w:hAnsi="Consolas" w:cs="Times New Roman"/>
                <w:color w:val="000000"/>
                <w:sz w:val="18"/>
                <w:szCs w:val="18"/>
              </w:rPr>
              <w:t>JL0155152</w:t>
            </w:r>
          </w:p>
        </w:tc>
        <w:tc>
          <w:tcPr>
            <w:tcW w:w="777" w:type="pct"/>
          </w:tcPr>
          <w:p w:rsidR="00BE66A1" w:rsidRDefault="00BE66A1" w:rsidP="00BE66A1">
            <w:r w:rsidRPr="00FE101F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End Can Assembly</w:t>
            </w:r>
          </w:p>
        </w:tc>
        <w:tc>
          <w:tcPr>
            <w:tcW w:w="1195" w:type="pct"/>
          </w:tcPr>
          <w:p w:rsidR="00BE66A1" w:rsidRDefault="00BE66A1" w:rsidP="00BE66A1">
            <w:r w:rsidRPr="001C769A"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</w:tcPr>
          <w:p w:rsidR="00BE66A1" w:rsidRDefault="00BE66A1" w:rsidP="00BE66A1">
            <w:r w:rsidRPr="00FE101F">
              <w:rPr>
                <w:rFonts w:ascii="Consolas" w:hAnsi="Consolas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Cernox CU Sensor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 w:rsidRPr="0078719B">
              <w:rPr>
                <w:rFonts w:ascii="Consolas" w:hAnsi="Consolas" w:cs="Times New Roman"/>
                <w:color w:val="000000"/>
                <w:sz w:val="18"/>
                <w:szCs w:val="18"/>
              </w:rPr>
              <w:t>CX-1050-CU-HT-1.4L-QL</w:t>
            </w:r>
          </w:p>
        </w:tc>
        <w:tc>
          <w:tcPr>
            <w:tcW w:w="777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lastRenderedPageBreak/>
              <w:t>Cernox LR Sensor</w:t>
            </w:r>
          </w:p>
        </w:tc>
        <w:tc>
          <w:tcPr>
            <w:tcW w:w="1195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 w:rsidRPr="0078719B">
              <w:rPr>
                <w:rFonts w:ascii="Consolas" w:hAnsi="Consolas" w:cs="Times New Roman"/>
                <w:color w:val="000000"/>
                <w:sz w:val="18"/>
                <w:szCs w:val="18"/>
              </w:rPr>
              <w:t>CX-1050-LR-1.4L-QL</w:t>
            </w:r>
          </w:p>
        </w:tc>
        <w:tc>
          <w:tcPr>
            <w:tcW w:w="777" w:type="pct"/>
            <w:vAlign w:val="center"/>
          </w:tcPr>
          <w:p w:rsidR="00BE66A1" w:rsidRDefault="00BE66A1" w:rsidP="00BE66A1">
            <w:pPr>
              <w:tabs>
                <w:tab w:val="clear" w:pos="2250"/>
              </w:tabs>
              <w:rPr>
                <w:rFonts w:ascii="Consolas" w:hAnsi="Consolas"/>
                <w:color w:val="000000"/>
                <w:sz w:val="18"/>
                <w:szCs w:val="18"/>
              </w:rPr>
            </w:pPr>
            <w:r>
              <w:rPr>
                <w:rFonts w:ascii="Consolas" w:hAnsi="Consolas"/>
                <w:color w:val="000000"/>
                <w:sz w:val="18"/>
                <w:szCs w:val="18"/>
              </w:rPr>
              <w:t>####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Cold String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  <w:tr w:rsidR="00BE66A1" w:rsidTr="00BE66A1">
        <w:trPr>
          <w:trHeight w:val="288"/>
        </w:trPr>
        <w:tc>
          <w:tcPr>
            <w:tcW w:w="222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Cryomodule Assembly</w:t>
            </w:r>
          </w:p>
        </w:tc>
        <w:tc>
          <w:tcPr>
            <w:tcW w:w="1195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TBD</w:t>
            </w:r>
          </w:p>
        </w:tc>
        <w:tc>
          <w:tcPr>
            <w:tcW w:w="777" w:type="pct"/>
            <w:vAlign w:val="center"/>
          </w:tcPr>
          <w:p w:rsidR="00BE66A1" w:rsidRPr="0039789B" w:rsidRDefault="00BE66A1" w:rsidP="00BE66A1">
            <w:pPr>
              <w:tabs>
                <w:tab w:val="clear" w:pos="2250"/>
              </w:tabs>
              <w:rPr>
                <w:rFonts w:ascii="Consolas" w:hAnsi="Consolas" w:cs="Times New Roman"/>
                <w:color w:val="000000"/>
                <w:sz w:val="18"/>
                <w:szCs w:val="18"/>
              </w:rPr>
            </w:pPr>
            <w:r>
              <w:rPr>
                <w:rFonts w:ascii="Consolas" w:hAnsi="Consolas" w:cs="Times New Roman"/>
                <w:color w:val="000000"/>
                <w:sz w:val="18"/>
                <w:szCs w:val="18"/>
              </w:rPr>
              <w:t>###</w:t>
            </w:r>
          </w:p>
        </w:tc>
        <w:tc>
          <w:tcPr>
            <w:tcW w:w="803" w:type="pct"/>
            <w:vAlign w:val="center"/>
          </w:tcPr>
          <w:p w:rsidR="00BE66A1" w:rsidRDefault="00BE66A1" w:rsidP="00BE66A1">
            <w:r w:rsidRPr="009B1662">
              <w:rPr>
                <w:rFonts w:ascii="Consolas" w:hAnsi="Consolas"/>
                <w:color w:val="000000"/>
                <w:sz w:val="18"/>
                <w:szCs w:val="18"/>
              </w:rPr>
              <w:t>TBD</w:t>
            </w:r>
          </w:p>
        </w:tc>
      </w:tr>
    </w:tbl>
    <w:p w:rsidR="004A1704" w:rsidRPr="001718A7" w:rsidRDefault="004A1704" w:rsidP="00EE2E33">
      <w:pPr>
        <w:tabs>
          <w:tab w:val="clear" w:pos="2250"/>
        </w:tabs>
      </w:pPr>
    </w:p>
    <w:p w:rsidR="00A325C4" w:rsidRDefault="00A325C4">
      <w:pPr>
        <w:tabs>
          <w:tab w:val="clear" w:pos="2250"/>
        </w:tabs>
        <w:rPr>
          <w:rFonts w:ascii="Lucida Bright" w:hAnsi="Lucida Bright" w:cs="Times"/>
          <w:b/>
          <w:sz w:val="28"/>
        </w:rPr>
      </w:pPr>
      <w:bookmarkStart w:id="1" w:name="TSP1004"/>
      <w:bookmarkStart w:id="2" w:name="Section5Reviews"/>
      <w:bookmarkStart w:id="3" w:name="Refdocacronymns"/>
      <w:r>
        <w:br w:type="page"/>
      </w:r>
      <w:bookmarkStart w:id="4" w:name="_GoBack"/>
      <w:bookmarkEnd w:id="4"/>
    </w:p>
    <w:p w:rsidR="0035230B" w:rsidRPr="00842D4E" w:rsidRDefault="0035230B" w:rsidP="0035230B">
      <w:pPr>
        <w:pStyle w:val="Heading1"/>
      </w:pPr>
      <w:r w:rsidRPr="00842D4E">
        <w:lastRenderedPageBreak/>
        <w:t>Approvals</w:t>
      </w:r>
    </w:p>
    <w:p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:rsidTr="00A6716F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6716F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8F2DE2" w:rsidRPr="00413D73" w:rsidTr="00A6716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231F19" w:rsidP="008F2DE2">
            <w:pPr>
              <w:spacing w:before="240"/>
            </w:pPr>
            <w:r>
              <w:t>Project Coordinator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152B8C" w:rsidP="008F2DE2">
            <w:pPr>
              <w:spacing w:before="240"/>
            </w:pPr>
            <w:r>
              <w:t>David Savransky</w:t>
            </w:r>
          </w:p>
        </w:tc>
        <w:tc>
          <w:tcPr>
            <w:tcW w:w="3600" w:type="dxa"/>
            <w:vAlign w:val="bottom"/>
          </w:tcPr>
          <w:p w:rsidR="008F2DE2" w:rsidRPr="00413D73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DD Mmm YYY</w:t>
            </w:r>
          </w:p>
        </w:tc>
      </w:tr>
      <w:tr w:rsidR="00C14F1F" w:rsidRPr="00413D73" w:rsidTr="00A6716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C14F1F" w:rsidRDefault="00C14F1F" w:rsidP="00C14F1F">
            <w:pPr>
              <w:spacing w:before="240"/>
            </w:pPr>
            <w:r>
              <w:t>Inventory Representative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C14F1F" w:rsidRDefault="00C14F1F" w:rsidP="00C14F1F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C14F1F" w:rsidRPr="00413D73" w:rsidRDefault="00C14F1F" w:rsidP="00C14F1F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C14F1F" w:rsidRDefault="00C14F1F" w:rsidP="00C14F1F">
            <w:pPr>
              <w:spacing w:before="240"/>
            </w:pPr>
            <w:r>
              <w:t>DD Mmm YYY</w:t>
            </w:r>
          </w:p>
        </w:tc>
      </w:tr>
      <w:bookmarkEnd w:id="1"/>
      <w:bookmarkEnd w:id="2"/>
      <w:bookmarkEnd w:id="3"/>
    </w:tbl>
    <w:p w:rsidR="00EE2E33" w:rsidRDefault="00EE2E33" w:rsidP="008F2DE2"/>
    <w:p w:rsidR="00EE2E33" w:rsidRDefault="00EE2E33">
      <w:pPr>
        <w:tabs>
          <w:tab w:val="clear" w:pos="2250"/>
        </w:tabs>
      </w:pPr>
    </w:p>
    <w:sectPr w:rsidR="00EE2E33" w:rsidSect="0084319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74" w:rsidRDefault="00697674" w:rsidP="00215E9D">
      <w:r>
        <w:separator/>
      </w:r>
    </w:p>
    <w:p w:rsidR="00697674" w:rsidRDefault="00697674" w:rsidP="00215E9D"/>
    <w:p w:rsidR="00697674" w:rsidRDefault="00697674" w:rsidP="00215E9D"/>
  </w:endnote>
  <w:endnote w:type="continuationSeparator" w:id="0">
    <w:p w:rsidR="00697674" w:rsidRDefault="00697674" w:rsidP="00215E9D">
      <w:r>
        <w:continuationSeparator/>
      </w:r>
    </w:p>
    <w:p w:rsidR="00697674" w:rsidRDefault="00697674" w:rsidP="00215E9D"/>
    <w:p w:rsidR="00697674" w:rsidRDefault="00697674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DD" w:rsidRPr="00843193" w:rsidRDefault="005369CC" w:rsidP="00843193">
    <w:pPr>
      <w:pStyle w:val="Footer"/>
      <w:pBdr>
        <w:top w:val="double" w:sz="4" w:space="1" w:color="auto"/>
      </w:pBdr>
      <w:tabs>
        <w:tab w:val="clear" w:pos="2250"/>
        <w:tab w:val="clear" w:pos="9360"/>
        <w:tab w:val="right" w:pos="10080"/>
      </w:tabs>
    </w:pPr>
    <w:r>
      <w:t>EIC591</w:t>
    </w:r>
    <w:r w:rsidR="00843193" w:rsidRPr="00843193">
      <w:t xml:space="preserve"> PEP Traceability Form, R1 </w:t>
    </w:r>
    <w:sdt>
      <w:sdtPr>
        <w:id w:val="1958520166"/>
        <w:docPartObj>
          <w:docPartGallery w:val="Page Numbers (Top of Page)"/>
          <w:docPartUnique/>
        </w:docPartObj>
      </w:sdtPr>
      <w:sdtEndPr/>
      <w:sdtContent>
        <w:r w:rsidR="00843193" w:rsidRPr="00843193">
          <w:tab/>
        </w:r>
        <w:r w:rsidR="00843193" w:rsidRPr="00843193">
          <w:tab/>
          <w:t xml:space="preserve">Page </w:t>
        </w:r>
        <w:r w:rsidR="00843193" w:rsidRPr="00843193">
          <w:rPr>
            <w:b/>
            <w:bCs/>
          </w:rPr>
          <w:fldChar w:fldCharType="begin"/>
        </w:r>
        <w:r w:rsidR="00843193" w:rsidRPr="00843193">
          <w:rPr>
            <w:b/>
            <w:bCs/>
          </w:rPr>
          <w:instrText xml:space="preserve"> PAGE </w:instrText>
        </w:r>
        <w:r w:rsidR="00843193" w:rsidRPr="00843193">
          <w:rPr>
            <w:b/>
            <w:bCs/>
          </w:rPr>
          <w:fldChar w:fldCharType="separate"/>
        </w:r>
        <w:r w:rsidR="00843193">
          <w:rPr>
            <w:b/>
            <w:bCs/>
          </w:rPr>
          <w:t>1</w:t>
        </w:r>
        <w:r w:rsidR="00843193" w:rsidRPr="00843193">
          <w:rPr>
            <w:b/>
            <w:bCs/>
          </w:rPr>
          <w:fldChar w:fldCharType="end"/>
        </w:r>
        <w:r w:rsidR="00843193" w:rsidRPr="00843193">
          <w:t xml:space="preserve"> of </w:t>
        </w:r>
        <w:r w:rsidR="00843193" w:rsidRPr="00843193">
          <w:rPr>
            <w:b/>
            <w:bCs/>
          </w:rPr>
          <w:fldChar w:fldCharType="begin"/>
        </w:r>
        <w:r w:rsidR="00843193" w:rsidRPr="00843193">
          <w:rPr>
            <w:b/>
            <w:bCs/>
          </w:rPr>
          <w:instrText xml:space="preserve"> NUMPAGES  </w:instrText>
        </w:r>
        <w:r w:rsidR="00843193" w:rsidRPr="00843193">
          <w:rPr>
            <w:b/>
            <w:bCs/>
          </w:rPr>
          <w:fldChar w:fldCharType="separate"/>
        </w:r>
        <w:r w:rsidR="00843193">
          <w:rPr>
            <w:b/>
            <w:bCs/>
          </w:rPr>
          <w:t>2</w:t>
        </w:r>
        <w:r w:rsidR="00843193" w:rsidRPr="00843193">
          <w:rPr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93" w:rsidRDefault="00843193">
    <w:pPr>
      <w:pStyle w:val="Footer"/>
      <w:jc w:val="right"/>
    </w:pPr>
  </w:p>
  <w:p w:rsidR="00B30DDA" w:rsidRPr="00843193" w:rsidRDefault="00843193" w:rsidP="007C045F">
    <w:pPr>
      <w:pStyle w:val="Footer"/>
      <w:pBdr>
        <w:top w:val="double" w:sz="4" w:space="1" w:color="auto"/>
      </w:pBdr>
      <w:tabs>
        <w:tab w:val="clear" w:pos="2250"/>
        <w:tab w:val="clear" w:pos="9360"/>
        <w:tab w:val="right" w:pos="10080"/>
      </w:tabs>
    </w:pPr>
    <w:r w:rsidRPr="00843193">
      <w:t xml:space="preserve">SRF-09-FM-001 PEP Traceability Form, R1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Pr="00843193">
          <w:tab/>
        </w:r>
        <w:r w:rsidRPr="00843193">
          <w:tab/>
          <w:t xml:space="preserve">Page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PAGE </w:instrText>
        </w:r>
        <w:r w:rsidRPr="00843193">
          <w:rPr>
            <w:b/>
            <w:bCs/>
          </w:rPr>
          <w:fldChar w:fldCharType="separate"/>
        </w:r>
        <w:r w:rsidRPr="00843193">
          <w:rPr>
            <w:b/>
            <w:bCs/>
          </w:rPr>
          <w:t>1</w:t>
        </w:r>
        <w:r w:rsidRPr="00843193">
          <w:rPr>
            <w:b/>
            <w:bCs/>
          </w:rPr>
          <w:fldChar w:fldCharType="end"/>
        </w:r>
        <w:r w:rsidRPr="00843193">
          <w:t xml:space="preserve"> of </w:t>
        </w:r>
        <w:r w:rsidRPr="00843193">
          <w:rPr>
            <w:b/>
            <w:bCs/>
          </w:rPr>
          <w:fldChar w:fldCharType="begin"/>
        </w:r>
        <w:r w:rsidRPr="00843193">
          <w:rPr>
            <w:b/>
            <w:bCs/>
          </w:rPr>
          <w:instrText xml:space="preserve"> NUMPAGES  </w:instrText>
        </w:r>
        <w:r w:rsidRPr="00843193">
          <w:rPr>
            <w:b/>
            <w:bCs/>
          </w:rPr>
          <w:fldChar w:fldCharType="separate"/>
        </w:r>
        <w:r w:rsidRPr="00843193">
          <w:rPr>
            <w:b/>
            <w:bCs/>
          </w:rPr>
          <w:t>2</w:t>
        </w:r>
        <w:r w:rsidRPr="00843193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74" w:rsidRDefault="00697674" w:rsidP="00215E9D">
      <w:r>
        <w:separator/>
      </w:r>
    </w:p>
    <w:p w:rsidR="00697674" w:rsidRDefault="00697674" w:rsidP="00215E9D"/>
    <w:p w:rsidR="00697674" w:rsidRDefault="00697674" w:rsidP="00215E9D"/>
  </w:footnote>
  <w:footnote w:type="continuationSeparator" w:id="0">
    <w:p w:rsidR="00697674" w:rsidRDefault="00697674" w:rsidP="00215E9D">
      <w:r>
        <w:continuationSeparator/>
      </w:r>
    </w:p>
    <w:p w:rsidR="00697674" w:rsidRDefault="00697674" w:rsidP="00215E9D"/>
    <w:p w:rsidR="00697674" w:rsidRDefault="00697674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1DD" w:rsidRDefault="000B71DD" w:rsidP="000B71DD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221A980" wp14:editId="60704FE4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4FB5C71B" wp14:editId="0BA42929">
          <wp:extent cx="1927860" cy="4610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1DD" w:rsidRDefault="000B71DD">
    <w:pPr>
      <w:pStyle w:val="Header"/>
    </w:pPr>
  </w:p>
  <w:p w:rsidR="00A13EFC" w:rsidRDefault="00A13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AA" w:rsidRDefault="00B27BAA" w:rsidP="00B27BAA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62A2954" wp14:editId="2A80616B">
          <wp:extent cx="2167636" cy="539262"/>
          <wp:effectExtent l="0" t="0" r="4445" b="0"/>
          <wp:docPr id="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1A2620E9" wp14:editId="43C958B8">
          <wp:extent cx="1927860" cy="461010"/>
          <wp:effectExtent l="0" t="0" r="0" b="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BAA" w:rsidRDefault="00B27BAA" w:rsidP="00B27BAA">
    <w:pPr>
      <w:tabs>
        <w:tab w:val="right" w:pos="2250"/>
        <w:tab w:val="right" w:pos="10080"/>
      </w:tabs>
      <w:rPr>
        <w:noProof/>
      </w:rPr>
    </w:pPr>
  </w:p>
  <w:p w:rsidR="00B27BAA" w:rsidRDefault="00B27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0B2547"/>
    <w:multiLevelType w:val="multilevel"/>
    <w:tmpl w:val="A0F09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3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946CE"/>
    <w:multiLevelType w:val="multilevel"/>
    <w:tmpl w:val="211C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B480C"/>
    <w:multiLevelType w:val="multilevel"/>
    <w:tmpl w:val="8312B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5"/>
  </w:num>
  <w:num w:numId="19">
    <w:abstractNumId w:val="16"/>
  </w:num>
  <w:num w:numId="20">
    <w:abstractNumId w:val="5"/>
  </w:num>
  <w:num w:numId="21">
    <w:abstractNumId w:val="0"/>
  </w:num>
  <w:num w:numId="22">
    <w:abstractNumId w:val="0"/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EF6670"/>
    <w:rsid w:val="00001EDF"/>
    <w:rsid w:val="00003482"/>
    <w:rsid w:val="00004572"/>
    <w:rsid w:val="000076FD"/>
    <w:rsid w:val="000130F6"/>
    <w:rsid w:val="00021B3D"/>
    <w:rsid w:val="00027132"/>
    <w:rsid w:val="0002782E"/>
    <w:rsid w:val="00032763"/>
    <w:rsid w:val="0003449C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50FA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1C4"/>
    <w:rsid w:val="000B71DD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282F"/>
    <w:rsid w:val="000F3AFC"/>
    <w:rsid w:val="000F41E7"/>
    <w:rsid w:val="00103BC6"/>
    <w:rsid w:val="001103EA"/>
    <w:rsid w:val="0011139A"/>
    <w:rsid w:val="00111445"/>
    <w:rsid w:val="00111904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1A8D"/>
    <w:rsid w:val="00152B8C"/>
    <w:rsid w:val="001537A4"/>
    <w:rsid w:val="00157CF5"/>
    <w:rsid w:val="00166805"/>
    <w:rsid w:val="00167A05"/>
    <w:rsid w:val="00170E83"/>
    <w:rsid w:val="00171296"/>
    <w:rsid w:val="001718A7"/>
    <w:rsid w:val="00175C5D"/>
    <w:rsid w:val="0017617F"/>
    <w:rsid w:val="00176E67"/>
    <w:rsid w:val="00181200"/>
    <w:rsid w:val="00182700"/>
    <w:rsid w:val="00182B57"/>
    <w:rsid w:val="00184286"/>
    <w:rsid w:val="0018479E"/>
    <w:rsid w:val="00186ECF"/>
    <w:rsid w:val="00190822"/>
    <w:rsid w:val="001941F1"/>
    <w:rsid w:val="00194BF6"/>
    <w:rsid w:val="001A29B7"/>
    <w:rsid w:val="001B11A0"/>
    <w:rsid w:val="001B1658"/>
    <w:rsid w:val="001B322D"/>
    <w:rsid w:val="001B7BF9"/>
    <w:rsid w:val="001C088A"/>
    <w:rsid w:val="001C2641"/>
    <w:rsid w:val="001D0A85"/>
    <w:rsid w:val="001D1E82"/>
    <w:rsid w:val="001D20B1"/>
    <w:rsid w:val="001D343F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1F19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2EB8"/>
    <w:rsid w:val="002652CE"/>
    <w:rsid w:val="002652DE"/>
    <w:rsid w:val="00270D51"/>
    <w:rsid w:val="00271D4B"/>
    <w:rsid w:val="002841DF"/>
    <w:rsid w:val="00284C54"/>
    <w:rsid w:val="00286F6A"/>
    <w:rsid w:val="0029106F"/>
    <w:rsid w:val="00292BF3"/>
    <w:rsid w:val="00292C8C"/>
    <w:rsid w:val="00293F46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24B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69E6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48E3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3C1D"/>
    <w:rsid w:val="003D43F4"/>
    <w:rsid w:val="003D509F"/>
    <w:rsid w:val="003D54BC"/>
    <w:rsid w:val="003D5E70"/>
    <w:rsid w:val="003D67BE"/>
    <w:rsid w:val="003D68F8"/>
    <w:rsid w:val="003D71FC"/>
    <w:rsid w:val="003D761C"/>
    <w:rsid w:val="003E240D"/>
    <w:rsid w:val="003E3FD3"/>
    <w:rsid w:val="003E4938"/>
    <w:rsid w:val="003E59C8"/>
    <w:rsid w:val="003E6A72"/>
    <w:rsid w:val="003E6C0A"/>
    <w:rsid w:val="003E7079"/>
    <w:rsid w:val="003E7096"/>
    <w:rsid w:val="003F06FA"/>
    <w:rsid w:val="0040130A"/>
    <w:rsid w:val="00403494"/>
    <w:rsid w:val="004074DC"/>
    <w:rsid w:val="00407E9D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36E73"/>
    <w:rsid w:val="00446040"/>
    <w:rsid w:val="00446EFC"/>
    <w:rsid w:val="00452777"/>
    <w:rsid w:val="00454E3E"/>
    <w:rsid w:val="00460162"/>
    <w:rsid w:val="00463AE7"/>
    <w:rsid w:val="00466A39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60B2"/>
    <w:rsid w:val="004867BC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369CC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819"/>
    <w:rsid w:val="00581E96"/>
    <w:rsid w:val="00593BD6"/>
    <w:rsid w:val="005944AD"/>
    <w:rsid w:val="00594AA3"/>
    <w:rsid w:val="0059666F"/>
    <w:rsid w:val="00597BD4"/>
    <w:rsid w:val="005A02BD"/>
    <w:rsid w:val="005A50FF"/>
    <w:rsid w:val="005A6664"/>
    <w:rsid w:val="005B0C44"/>
    <w:rsid w:val="005B40D3"/>
    <w:rsid w:val="005B4962"/>
    <w:rsid w:val="005B5D21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772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674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3D9C"/>
    <w:rsid w:val="006C66E5"/>
    <w:rsid w:val="006C6938"/>
    <w:rsid w:val="006D0206"/>
    <w:rsid w:val="006D2210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600C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45C5"/>
    <w:rsid w:val="007461E5"/>
    <w:rsid w:val="00752174"/>
    <w:rsid w:val="007576F4"/>
    <w:rsid w:val="00761AEA"/>
    <w:rsid w:val="00763B32"/>
    <w:rsid w:val="00765D85"/>
    <w:rsid w:val="00766CC4"/>
    <w:rsid w:val="00774470"/>
    <w:rsid w:val="00774F0D"/>
    <w:rsid w:val="00777506"/>
    <w:rsid w:val="00780BF0"/>
    <w:rsid w:val="00781C27"/>
    <w:rsid w:val="007834E2"/>
    <w:rsid w:val="0078719B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045F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6561"/>
    <w:rsid w:val="00827CEC"/>
    <w:rsid w:val="008313C4"/>
    <w:rsid w:val="00831F1D"/>
    <w:rsid w:val="00837BCC"/>
    <w:rsid w:val="00842D4E"/>
    <w:rsid w:val="00842D6E"/>
    <w:rsid w:val="00843193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5063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57FE4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0EF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45B3"/>
    <w:rsid w:val="009D688D"/>
    <w:rsid w:val="009D6A23"/>
    <w:rsid w:val="009E0135"/>
    <w:rsid w:val="009E221A"/>
    <w:rsid w:val="009E4F1C"/>
    <w:rsid w:val="009E579C"/>
    <w:rsid w:val="009E5929"/>
    <w:rsid w:val="009E6316"/>
    <w:rsid w:val="009F3B15"/>
    <w:rsid w:val="009F4A5E"/>
    <w:rsid w:val="009F4D06"/>
    <w:rsid w:val="009F4FC2"/>
    <w:rsid w:val="009F7B7A"/>
    <w:rsid w:val="00A0248C"/>
    <w:rsid w:val="00A02F3D"/>
    <w:rsid w:val="00A05A6C"/>
    <w:rsid w:val="00A116D6"/>
    <w:rsid w:val="00A1295D"/>
    <w:rsid w:val="00A1301E"/>
    <w:rsid w:val="00A13EFC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25C4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6F"/>
    <w:rsid w:val="00A671C9"/>
    <w:rsid w:val="00A7060B"/>
    <w:rsid w:val="00A75800"/>
    <w:rsid w:val="00A80358"/>
    <w:rsid w:val="00A81CC1"/>
    <w:rsid w:val="00A847E4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27BAA"/>
    <w:rsid w:val="00B30DDA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38D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3808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6A1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4F1F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53EE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CF7F5F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21C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1661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6F9B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14D8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649C2"/>
    <w:rsid w:val="00E8017C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C1E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2E33"/>
    <w:rsid w:val="00EE319F"/>
    <w:rsid w:val="00EE4F4D"/>
    <w:rsid w:val="00EE531C"/>
    <w:rsid w:val="00EE7DCF"/>
    <w:rsid w:val="00EF0110"/>
    <w:rsid w:val="00EF3C9F"/>
    <w:rsid w:val="00EF6670"/>
    <w:rsid w:val="00F05F76"/>
    <w:rsid w:val="00F1391B"/>
    <w:rsid w:val="00F20E7E"/>
    <w:rsid w:val="00F224D2"/>
    <w:rsid w:val="00F233A0"/>
    <w:rsid w:val="00F25D18"/>
    <w:rsid w:val="00F267DF"/>
    <w:rsid w:val="00F27E31"/>
    <w:rsid w:val="00F32358"/>
    <w:rsid w:val="00F32C61"/>
    <w:rsid w:val="00F41A1E"/>
    <w:rsid w:val="00F42EDA"/>
    <w:rsid w:val="00F47B41"/>
    <w:rsid w:val="00F52A16"/>
    <w:rsid w:val="00F5370D"/>
    <w:rsid w:val="00F5581A"/>
    <w:rsid w:val="00F57B35"/>
    <w:rsid w:val="00F57E93"/>
    <w:rsid w:val="00F62D82"/>
    <w:rsid w:val="00F708E0"/>
    <w:rsid w:val="00F72B32"/>
    <w:rsid w:val="00F75268"/>
    <w:rsid w:val="00F77D8E"/>
    <w:rsid w:val="00F805A3"/>
    <w:rsid w:val="00F81D0D"/>
    <w:rsid w:val="00F83DE7"/>
    <w:rsid w:val="00F84CDB"/>
    <w:rsid w:val="00F86B44"/>
    <w:rsid w:val="00F912BB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  <w:rsid w:val="33630D2B"/>
    <w:rsid w:val="49239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4D46280-AECA-4094-8145-64B6A376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6C3D9C"/>
    <w:pPr>
      <w:tabs>
        <w:tab w:val="clear" w:pos="225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3D9C"/>
  </w:style>
  <w:style w:type="character" w:customStyle="1" w:styleId="eop">
    <w:name w:val="eop"/>
    <w:basedOn w:val="DefaultParagraphFont"/>
    <w:rsid w:val="006C3D9C"/>
  </w:style>
  <w:style w:type="character" w:customStyle="1" w:styleId="spellingerror">
    <w:name w:val="spellingerror"/>
    <w:basedOn w:val="DefaultParagraphFont"/>
    <w:rsid w:val="00EE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8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4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5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1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9%20Inventory\SRF-09-FM-001%20PEP%20Traceability%20Form%20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1099E-DD6C-46EB-B8B3-176568D4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SRF-09-FM-001 PEP Traceability Form R1</Template>
  <TotalTime>1485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Savransky</dc:creator>
  <cp:keywords/>
  <cp:lastModifiedBy>David Savransky</cp:lastModifiedBy>
  <cp:revision>2</cp:revision>
  <cp:lastPrinted>2020-02-11T15:55:00Z</cp:lastPrinted>
  <dcterms:created xsi:type="dcterms:W3CDTF">2025-03-31T20:01:00Z</dcterms:created>
  <dcterms:modified xsi:type="dcterms:W3CDTF">2025-04-01T20:54:00Z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